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65BB" w:rsidRDefault="00932B19">
      <w:pPr>
        <w:spacing w:after="300" w:line="276" w:lineRule="auto"/>
        <w:jc w:val="center"/>
      </w:pPr>
      <w:r>
        <w:rPr>
          <w:rFonts w:ascii="Times New Roman" w:eastAsia="Times New Roman" w:hAnsi="Times New Roman" w:cs="Times New Roman"/>
          <w:b/>
          <w:sz w:val="26"/>
        </w:rPr>
        <w:t>Chi tiết thủ tục hành chính</w:t>
      </w:r>
    </w:p>
    <w:p w:rsidR="006565BB" w:rsidRDefault="00932B1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1.013433</w:t>
      </w:r>
    </w:p>
    <w:p w:rsidR="006565BB" w:rsidRDefault="00932B1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6565BB" w:rsidRDefault="00932B1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mua công cụ hỗ trợ</w:t>
      </w:r>
    </w:p>
    <w:p w:rsidR="006565BB" w:rsidRDefault="00932B1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565BB" w:rsidRDefault="00932B1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565BB" w:rsidRDefault="00932B1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6565BB" w:rsidRDefault="00932B19">
      <w:pPr>
        <w:spacing w:after="0" w:line="276" w:lineRule="auto"/>
        <w:jc w:val="both"/>
      </w:pPr>
      <w:r>
        <w:rPr>
          <w:rFonts w:ascii="Times New Roman" w:eastAsia="Times New Roman" w:hAnsi="Times New Roman" w:cs="Times New Roman"/>
          <w:b/>
          <w:sz w:val="26"/>
        </w:rPr>
        <w:t xml:space="preserve">Trình tự thực hiện: </w:t>
      </w:r>
    </w:p>
    <w:p w:rsidR="006565BB" w:rsidRDefault="006565BB">
      <w:pPr>
        <w:shd w:val="clear" w:color="auto" w:fill="F2F6F9"/>
        <w:spacing w:before="120" w:after="0" w:line="276" w:lineRule="auto"/>
        <w:jc w:val="both"/>
      </w:pPr>
    </w:p>
    <w:p w:rsidR="006565BB" w:rsidRDefault="00932B19">
      <w:pPr>
        <w:spacing w:after="0" w:line="276" w:lineRule="auto"/>
        <w:jc w:val="both"/>
      </w:pPr>
      <w:r>
        <w:rPr>
          <w:rFonts w:ascii="Times New Roman" w:eastAsia="Times New Roman" w:hAnsi="Times New Roman" w:cs="Times New Roman"/>
          <w:sz w:val="26"/>
        </w:rPr>
        <w:t xml:space="preserve">- Bước 1: Tổ chức, doanh nghiệp chuẩn bị hồ sơ theo quy định của pháp luật. - Bước 2: Tổ chức, doanh nghiệp nộp hồ sơ trên Cổng dịch vụ công hoặc nộp hồ sơ trực tiếp hoặc gửi qua đường bưu chính về Cục Cảnh sát quản lý hành chính về trật tự xã hội, Bộ Công an. - Bước 3: Khi tiếp nhận hồ sơ, cơ quan có thẩm quyền kiểm tra tính pháp lý, nội dung hồ sơ: + Trường hợp hồ sơ đạt yêu cầu: Cán bộ tiếp nhận hồ sơ trên Cổng dịch vụ công phải thông báo thời gian trả kết quả cho tổ chức, doanh nghiệp đề nghị biết. Cán </w:t>
      </w:r>
      <w:r>
        <w:rPr>
          <w:rFonts w:ascii="Times New Roman" w:eastAsia="Times New Roman" w:hAnsi="Times New Roman" w:cs="Times New Roman"/>
          <w:sz w:val="26"/>
        </w:rPr>
        <w:t xml:space="preserve">bộ tiếp nhận hồ sơ nộp qua đường bưu chính hoặc trực tiếp phải thông báo bằng văn bản thời gian trả kết quả cho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tổ chức, doanh nghiệp đề nghị biết để bổ sung, hoàn thiện.  Cán bộ tiếp nhận hồ sơ qua đường bưu chính hoặc trực tiếp phải trả hồ sơ hoặc thông báo bằng văn bản cho </w:t>
      </w:r>
      <w:r>
        <w:rPr>
          <w:rFonts w:ascii="Times New Roman" w:eastAsia="Times New Roman" w:hAnsi="Times New Roman" w:cs="Times New Roman"/>
          <w:sz w:val="26"/>
        </w:rPr>
        <w:t>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tổ chức, doanh nghiệp đề nghị biết.  Cán bộ tiếp nhận hồ sơ nộp qua đường bưu chính hoặc trực tiếp, không tiếp nhận và thông báo trả lời trực tiếp hoặc bằng văn bản, nêu rõ lý do không tiếp nhận cho tổ chức, doanh nghiệp đề nghị biết. - Bước 4: Căn cứ theo ngày hẹn trên phiếu tiếp nhận h</w:t>
      </w:r>
      <w:r>
        <w:rPr>
          <w:rFonts w:ascii="Times New Roman" w:eastAsia="Times New Roman" w:hAnsi="Times New Roman" w:cs="Times New Roman"/>
          <w:sz w:val="26"/>
        </w:rPr>
        <w:t>ồ sơ và hẹn trả kết quả để nhận giấy phép mua công cụ hỗ trợ.</w:t>
      </w:r>
    </w:p>
    <w:p w:rsidR="006565BB" w:rsidRDefault="00932B1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6"/>
        <w:gridCol w:w="870"/>
        <w:gridCol w:w="1799"/>
        <w:gridCol w:w="5916"/>
      </w:tblGrid>
      <w:tr w:rsidR="006565BB">
        <w:tblPrEx>
          <w:tblCellMar>
            <w:top w:w="0" w:type="dxa"/>
            <w:bottom w:w="0" w:type="dxa"/>
          </w:tblCellMar>
        </w:tblPrEx>
        <w:tc>
          <w:tcPr>
            <w:tcW w:w="15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Hình thức nộp</w:t>
            </w:r>
          </w:p>
        </w:tc>
        <w:tc>
          <w:tcPr>
            <w:tcW w:w="20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Phí, lệ phí</w:t>
            </w:r>
          </w:p>
        </w:tc>
        <w:tc>
          <w:tcPr>
            <w:tcW w:w="30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Mô tả</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 xml:space="preserve">03 </w:t>
            </w:r>
            <w:r>
              <w:rPr>
                <w:rFonts w:ascii="Times New Roman" w:eastAsia="Times New Roman" w:hAnsi="Times New Roman" w:cs="Times New Roman"/>
                <w:sz w:val="26"/>
              </w:rPr>
              <w:lastRenderedPageBreak/>
              <w:t>Ngày làm việc</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 xml:space="preserve">Phí : 10.000 </w:t>
            </w:r>
            <w:r>
              <w:rPr>
                <w:rFonts w:ascii="Times New Roman" w:eastAsia="Times New Roman" w:hAnsi="Times New Roman" w:cs="Times New Roman"/>
                <w:sz w:val="26"/>
              </w:rPr>
              <w:lastRenderedPageBreak/>
              <w:t>Đồng (10.000 đồng/khẩu-chiếc.)</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 xml:space="preserve">- Nộp hồ sơ trực tiếp hoặc gửi qua đường bưu chính đến </w:t>
            </w:r>
            <w:r>
              <w:rPr>
                <w:rFonts w:ascii="Times New Roman" w:eastAsia="Times New Roman" w:hAnsi="Times New Roman" w:cs="Times New Roman"/>
                <w:sz w:val="26"/>
              </w:rPr>
              <w:lastRenderedPageBreak/>
              <w:t>Cục Cảnh sát quản lý hành chính về trật tự xã hội, Bộ Công an.  Trong thời hạn 03 ngày làm việc kể từ ngày nhận được văn bản đề nghị, cơ quan Công an có thẩm quyền cấp giấy phép mua công cụ hỗ trợ; trường hợp không cấp phải trả lời bằng văn bản và nêu rõ lý do.</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Trực tuyến</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03 Ngày làm việc</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Phí : 10.000 Đồng (10.000 đồng/khẩu-chiếc.)</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 Nộp hồ sơ trên Cổng dịch vụ công. Trong thời hạn 03 ngày làm việc kể từ ngày nhận được văn bản đề nghị, cơ quan Công an có thẩm quyền cấp giấy phép mua công cụ hỗ trợ; trường hợp không cấp phải trả lời bằng văn bản và nêu rõ lý do.</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Dịch vụ bưu chính</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03 Ngày làm việc</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Phí : 10.000 Đồng (10.000 đồng/khẩu-chiếc.)</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Trong thời hạn 03 ngày làm việc kể từ ngày nhận được văn bản đề nghị, cơ quan Công an có thẩm quyền cấp giấy phép mua công cụ hỗ trợ; trường hợp không cấp phải trả lời bằng văn bản và nêu rõ lý do.</w:t>
            </w:r>
          </w:p>
        </w:tc>
      </w:tr>
    </w:tbl>
    <w:p w:rsidR="006565BB" w:rsidRDefault="00932B19">
      <w:pPr>
        <w:spacing w:before="240" w:after="0" w:line="276" w:lineRule="auto"/>
        <w:jc w:val="both"/>
      </w:pPr>
      <w:r>
        <w:rPr>
          <w:rFonts w:ascii="Times New Roman" w:eastAsia="Times New Roman" w:hAnsi="Times New Roman" w:cs="Times New Roman"/>
          <w:b/>
          <w:sz w:val="26"/>
        </w:rPr>
        <w:t xml:space="preserve">Thành phần hồ sơ: </w:t>
      </w:r>
    </w:p>
    <w:p w:rsidR="006565BB" w:rsidRDefault="00932B19">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54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3"/>
        <w:gridCol w:w="926"/>
        <w:gridCol w:w="1022"/>
      </w:tblGrid>
      <w:tr w:rsidR="006565BB">
        <w:tblPrEx>
          <w:tblCellMar>
            <w:top w:w="0" w:type="dxa"/>
            <w:bottom w:w="0" w:type="dxa"/>
          </w:tblCellMar>
        </w:tblPrEx>
        <w:tc>
          <w:tcPr>
            <w:tcW w:w="60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Tên giấy tờ</w:t>
            </w:r>
          </w:p>
        </w:tc>
        <w:tc>
          <w:tcPr>
            <w:tcW w:w="20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Mẫu đơn, tờ khai</w:t>
            </w:r>
          </w:p>
        </w:tc>
        <w:tc>
          <w:tcPr>
            <w:tcW w:w="20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Số lượng</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Văn bản đề nghị, trong đó ghi rõ tên, địa chỉ tổ chức, doanh nghiệp mua và tên, địa chỉ tổ chức, doanh nghiệp bán; lý do; số lượng, chủng loại, nhãn hiệu công cụ hỗ trợ; họ tên, số định danh cá nhân hoặc số hộ chiếu của người đại diện theo pháp luật.</w:t>
            </w:r>
          </w:p>
        </w:tc>
        <w:tc>
          <w:tcPr>
            <w:tcW w:w="0" w:type="auto"/>
          </w:tcPr>
          <w:p w:rsidR="006565BB" w:rsidRDefault="006565BB"/>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rsidR="006565BB" w:rsidRDefault="006565BB"/>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6565BB" w:rsidRDefault="00932B19">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Tổ chức (không bao gồm doanh nghiệp, HTX), Hợp tác xã</w:t>
      </w:r>
    </w:p>
    <w:p w:rsidR="006565BB" w:rsidRDefault="00932B1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6565BB" w:rsidRDefault="00932B1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6565BB" w:rsidRDefault="00932B1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w:t>
      </w:r>
    </w:p>
    <w:p w:rsidR="006565BB" w:rsidRDefault="00932B1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565BB" w:rsidRDefault="00932B1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565BB" w:rsidRDefault="00932B1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mua công cụ hỗ trợ</w:t>
      </w:r>
    </w:p>
    <w:p w:rsidR="006565BB" w:rsidRDefault="00932B1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6565BB">
        <w:tblPrEx>
          <w:tblCellMar>
            <w:top w:w="0" w:type="dxa"/>
            <w:bottom w:w="0" w:type="dxa"/>
          </w:tblCellMar>
        </w:tblPrEx>
        <w:tc>
          <w:tcPr>
            <w:tcW w:w="20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Số ký hiệu</w:t>
            </w:r>
          </w:p>
        </w:tc>
        <w:tc>
          <w:tcPr>
            <w:tcW w:w="35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Trích yếu</w:t>
            </w:r>
          </w:p>
        </w:tc>
        <w:tc>
          <w:tcPr>
            <w:tcW w:w="15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Ngày ban hành</w:t>
            </w:r>
          </w:p>
        </w:tc>
        <w:tc>
          <w:tcPr>
            <w:tcW w:w="3000" w:type="dxa"/>
          </w:tcPr>
          <w:p w:rsidR="006565BB" w:rsidRDefault="006565BB"/>
          <w:p w:rsidR="006565BB" w:rsidRDefault="00932B19">
            <w:pPr>
              <w:spacing w:after="0" w:line="276" w:lineRule="auto"/>
              <w:jc w:val="center"/>
            </w:pPr>
            <w:r>
              <w:rPr>
                <w:rFonts w:ascii="Times New Roman" w:eastAsia="Times New Roman" w:hAnsi="Times New Roman" w:cs="Times New Roman"/>
                <w:b/>
                <w:sz w:val="26"/>
              </w:rPr>
              <w:t>Cơ quan ban hành</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23/2019/TT-BTC</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Thông tư 23/2019/TT-BTC</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19-04-2019</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Bộ Tài chính</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42/2024/QH15</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29-06-2024</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Quốc Hội</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75/2024/TT-BCA</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15-11-2024</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Bộ trưởng Bộ Công an</w:t>
            </w:r>
          </w:p>
        </w:tc>
      </w:tr>
      <w:tr w:rsidR="006565BB">
        <w:tblPrEx>
          <w:tblCellMar>
            <w:top w:w="0" w:type="dxa"/>
            <w:bottom w:w="0" w:type="dxa"/>
          </w:tblCellMar>
        </w:tblPrEx>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77/2024/TT-BCA</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15-11-2024</w:t>
            </w:r>
          </w:p>
        </w:tc>
        <w:tc>
          <w:tcPr>
            <w:tcW w:w="0" w:type="auto"/>
          </w:tcPr>
          <w:p w:rsidR="006565BB" w:rsidRDefault="006565BB"/>
          <w:p w:rsidR="006565BB" w:rsidRDefault="00932B19">
            <w:pPr>
              <w:spacing w:after="0" w:line="276" w:lineRule="auto"/>
            </w:pPr>
            <w:r>
              <w:rPr>
                <w:rFonts w:ascii="Times New Roman" w:eastAsia="Times New Roman" w:hAnsi="Times New Roman" w:cs="Times New Roman"/>
                <w:sz w:val="26"/>
              </w:rPr>
              <w:t>Bộ trưởng Bộ Công an</w:t>
            </w:r>
          </w:p>
        </w:tc>
      </w:tr>
    </w:tbl>
    <w:p w:rsidR="006565BB" w:rsidRDefault="00932B1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1 Điều 54 Luật Quản lý, sử dụng vũ khí, vật liệu nổ và công cụ hỗ trợ (Luật số 42/2024/QH15 ngày 29/6/2024) thì tổ chức, doanh nghiệp không thuộc phạm vi quản lý của Bộ Quốc phòng được phép sản xuất, kinh doanh công cụ hỗ trợ khi mua công cụ hỗ trợ phải có văn bản đề nghị cơ quan có thẩm quyền cấp giấy phép mua công cụ hỗ trợ.</w:t>
      </w:r>
    </w:p>
    <w:p w:rsidR="006565BB" w:rsidRDefault="00932B1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565BB" w:rsidRDefault="00932B1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https://thutuc.dichvucong.gov.vn/p/home/dvc-tthc-thu-tuc-hanh-chinh-chi-tiet.html?ma_thu_tuc=373814</w:t>
      </w:r>
    </w:p>
    <w:sectPr w:rsidR="006565B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65BB"/>
    <w:rsid w:val="006565BB"/>
    <w:rsid w:val="00932B19"/>
    <w:rsid w:val="00D63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CBD03F-B378-46CF-9D88-109BC71D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2025-11-24T09:22:00Z</dcterms:created>
  <dcterms:modified xsi:type="dcterms:W3CDTF">2025-11-24T09:22:00Z</dcterms:modified>
</cp:coreProperties>
</file>