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165A" w:rsidRDefault="00244DFC">
      <w:pPr>
        <w:spacing w:after="300" w:line="276" w:lineRule="auto"/>
        <w:jc w:val="center"/>
      </w:pPr>
      <w:r>
        <w:rPr>
          <w:rFonts w:ascii="Times New Roman" w:eastAsia="Times New Roman" w:hAnsi="Times New Roman" w:cs="Times New Roman"/>
          <w:b/>
          <w:sz w:val="26"/>
        </w:rPr>
        <w:t>Chi tiết thủ tục hành chính</w:t>
      </w:r>
    </w:p>
    <w:p w:rsidR="00F5165A" w:rsidRDefault="00244DF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1.013443</w:t>
      </w:r>
    </w:p>
    <w:p w:rsidR="00F5165A" w:rsidRDefault="00244DF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F5165A" w:rsidRDefault="00244DF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đào tạo, huấn luyện về quản lý, sử dụng vũ khí, vật liệu nổ quân dụng, công cụ hỗ trợ và cấp, cấp đổi giấy chứng nhận sử dụng vũ khí, vật liệu nổ quân dụng, công cụ hỗ trợ; chứng chỉ quản lý kho, nơi cất giữ vũ khí, vật liệu nổ quân dụng, công cụ hỗ trợ</w:t>
      </w:r>
    </w:p>
    <w:p w:rsidR="00F5165A" w:rsidRDefault="00244DF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F5165A" w:rsidRDefault="00244DF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5165A" w:rsidRDefault="00244DF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F5165A" w:rsidRDefault="00244DFC">
      <w:pPr>
        <w:spacing w:after="0" w:line="276" w:lineRule="auto"/>
        <w:jc w:val="both"/>
      </w:pPr>
      <w:r>
        <w:rPr>
          <w:rFonts w:ascii="Times New Roman" w:eastAsia="Times New Roman" w:hAnsi="Times New Roman" w:cs="Times New Roman"/>
          <w:b/>
          <w:sz w:val="26"/>
        </w:rPr>
        <w:t xml:space="preserve">Trình tự thực hiện: </w:t>
      </w:r>
    </w:p>
    <w:p w:rsidR="00F5165A" w:rsidRDefault="00F5165A">
      <w:pPr>
        <w:shd w:val="clear" w:color="auto" w:fill="F2F6F9"/>
        <w:spacing w:before="120" w:after="0" w:line="276" w:lineRule="auto"/>
        <w:jc w:val="both"/>
      </w:pPr>
    </w:p>
    <w:p w:rsidR="00F5165A" w:rsidRDefault="00244DFC">
      <w:pPr>
        <w:spacing w:after="0" w:line="276" w:lineRule="auto"/>
        <w:jc w:val="both"/>
      </w:pPr>
      <w:r>
        <w:rPr>
          <w:rFonts w:ascii="Times New Roman" w:eastAsia="Times New Roman" w:hAnsi="Times New Roman" w:cs="Times New Roman"/>
          <w:sz w:val="26"/>
        </w:rPr>
        <w:t>-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Cục Cảnh sát quản lý hành chính về trật tự xã hội, Bộ Công an hoặc Phòng Cảnh sát quản lý hành chính về trật tự xã hội, Công a</w:t>
      </w:r>
      <w:r>
        <w:rPr>
          <w:rFonts w:ascii="Times New Roman" w:eastAsia="Times New Roman" w:hAnsi="Times New Roman" w:cs="Times New Roman"/>
          <w:sz w:val="26"/>
        </w:rPr>
        <w:t>n cấp tỉnh kiểm tra tính pháp lý, nội dung hồ sơ: + Trường hợp hồ sơ đạt yêu cầu: Cán bộ tiếp nhận hồ sơ trên Cổng 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w:t>
      </w:r>
      <w:r>
        <w:rPr>
          <w:rFonts w:ascii="Times New Roman" w:eastAsia="Times New Roman" w:hAnsi="Times New Roman" w:cs="Times New Roman"/>
          <w:sz w:val="26"/>
        </w:rPr>
        <w:t>ơ trên Cổng dịch vụ công phải thông báo thủ tục còn thiếu cho cơ quan, tổ chức, doanh nghiệp đề nghị biết để bổ sung,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w:t>
      </w:r>
      <w:r>
        <w:rPr>
          <w:rFonts w:ascii="Times New Roman" w:eastAsia="Times New Roman" w:hAnsi="Times New Roman" w:cs="Times New Roman"/>
          <w:sz w:val="26"/>
        </w:rPr>
        <w:t>.  Cán bộ tiếp nhận hồ sơ nộp qua đường bưu chính hoặc trực tiếp, không tiếp nhận và thông báo trả lời trực tiếp hoặc bằng văn bản, nêu rõ lý do không tiếp nhận cho cơ quan, tổ chức, doanh nghiệp đề nghị biết. - Bước 4: Cục Cảnh sát quản lý hành chính về trật tự xã hội, Bộ Công an hoặc Phòng Cảnh sát quản lý hành chính về trật tự xã hội, Công an cấp tỉnh kiểm tra hồ sơ, xây dựng kế hoạch và quyết định mở lớp đào tạo, huấn luyện; bố trí cán bộ đào tạo, huấn luyện theo quy định.  Trường hợp Cục Trang bị và kh</w:t>
      </w:r>
      <w:r>
        <w:rPr>
          <w:rFonts w:ascii="Times New Roman" w:eastAsia="Times New Roman" w:hAnsi="Times New Roman" w:cs="Times New Roman"/>
          <w:sz w:val="26"/>
        </w:rPr>
        <w:t xml:space="preserve">o vận, Bộ Công an hoặc các học viện, trường Công an nhân dân, Trung tâm huấn luyện và bồi dưỡng nghiệp vụ Công an nhân dân tổ chức đào tạo, huấn luyện thì sau khi có quyết định mở lớp đào tạo, huấn </w:t>
      </w:r>
      <w:r>
        <w:rPr>
          <w:rFonts w:ascii="Times New Roman" w:eastAsia="Times New Roman" w:hAnsi="Times New Roman" w:cs="Times New Roman"/>
          <w:sz w:val="26"/>
        </w:rPr>
        <w:lastRenderedPageBreak/>
        <w:t>luyện phải có văn bản thông báo và kèm theo quyết định mở lớp cho Cục Cảnh sát quản lý hành chính về trật tự xã hội, Bộ Công an hoặc Phòng Cảnh sát quản lý hành chính về trật tự xã hội, Công an cấp tỉnh để tổ chức kiểm tra, sát hạch, cấp giấy chứng nhận sử dụng, chứng chỉ quản lý vũ khí, vật liệu nổ quân dụng, cô</w:t>
      </w:r>
      <w:r>
        <w:rPr>
          <w:rFonts w:ascii="Times New Roman" w:eastAsia="Times New Roman" w:hAnsi="Times New Roman" w:cs="Times New Roman"/>
          <w:sz w:val="26"/>
        </w:rPr>
        <w:t>ng cụ hỗ trợ.  - Bước 5: Sau khi kết thúc đào tạo, huấn luyện về quản lý, sử dụng vũ khí, vật liệu nổ quân dụng, công cụ hỗ trợ, Cục Cảnh sát quản lý hành chính về trật tự xã hội, Bộ Công an Phòng Cảnh sát quản lý hành chính về trật tự xã hội, Công an cấp tỉnh thành lập Hội đồng sát hạch, tiến hành tổ chức kiểm tra, sát hạch, đánh giá kết quả kiểm tra đối với cá nhân được đào tạo, huấn luyện về quản lý, sử dụng vũ khí, vật liệu nổ quân dụng, công cụ hỗ trợ.  - Bước 6: Căn cứ theo thông báo kết quả kiểm tra,</w:t>
      </w:r>
      <w:r>
        <w:rPr>
          <w:rFonts w:ascii="Times New Roman" w:eastAsia="Times New Roman" w:hAnsi="Times New Roman" w:cs="Times New Roman"/>
          <w:sz w:val="26"/>
        </w:rPr>
        <w:t xml:space="preserve"> sát hạch, cơ quan, tổ chức, doanh nghiệp ở trung ương đề nghị huấn luyện về quản lý, sử dụng vũ khí, công cụ hỗ trợ đến nhận kết quả giấy chứng nhận sử dụng vũ khí, vật liệu nổ quân dụng, công cụ hỗ trợ; chứng chỉ quản lý kho, nơi cất giữ vũ khí, vật liệu nổ quân dụng, công cụ hỗ trợ.</w:t>
      </w:r>
    </w:p>
    <w:p w:rsidR="00F5165A" w:rsidRDefault="00244DF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7"/>
        <w:gridCol w:w="900"/>
        <w:gridCol w:w="1039"/>
        <w:gridCol w:w="6615"/>
      </w:tblGrid>
      <w:tr w:rsidR="00F5165A">
        <w:tblPrEx>
          <w:tblCellMar>
            <w:top w:w="0" w:type="dxa"/>
            <w:bottom w:w="0" w:type="dxa"/>
          </w:tblCellMar>
        </w:tblPrEx>
        <w:tc>
          <w:tcPr>
            <w:tcW w:w="15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Hình thức nộp</w:t>
            </w:r>
          </w:p>
        </w:tc>
        <w:tc>
          <w:tcPr>
            <w:tcW w:w="2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Phí, lệ phí</w:t>
            </w:r>
          </w:p>
        </w:tc>
        <w:tc>
          <w:tcPr>
            <w:tcW w:w="3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Mô tả</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Trực tiếp</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03 Ngày làm việc</w:t>
            </w:r>
          </w:p>
        </w:tc>
        <w:tc>
          <w:tcPr>
            <w:tcW w:w="0" w:type="auto"/>
          </w:tcPr>
          <w:p w:rsidR="00F5165A" w:rsidRDefault="00F5165A"/>
          <w:p w:rsidR="00F5165A" w:rsidRDefault="00F5165A">
            <w:pPr>
              <w:spacing w:after="0" w:line="276" w:lineRule="auto"/>
            </w:pP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Cục Cảnh sát quản lý hành chính về trật tự xã hội, Bộ Công an hoặc Phòng Cảnh sát quản lý hành chính về trật tự xã hội, Công an cấp tỉnh có trách nhiệm kiểm tra hồ sơ, xây dựng kế hoạch và quyết định mở lớp đào tạo, huấn luyện.   Trong thời hạn 05 ngày làm vi</w:t>
            </w:r>
            <w:r>
              <w:rPr>
                <w:rFonts w:ascii="Times New Roman" w:eastAsia="Times New Roman" w:hAnsi="Times New Roman" w:cs="Times New Roman"/>
                <w:sz w:val="26"/>
              </w:rPr>
              <w:t xml:space="preserve">ệc, sau khi kết thúc kiểm tra, sát hạch, Cục Cảnh sát quản lý hành chính về trật tự xã hội, Bộ Công an hoặc Phòng Cảnh sát quản lý hành chính về trật tự xã hội, Công an cấp tỉnh có trách nhiệm cấp giấy chứng nhận sử dụng vũ khí, vật liệu nổ quân dụng, công cụ hỗ trợ; chứng chỉ quản lý kho, nơi cất giữ vũ khí, vật liệu nổ quân dụng, công cụ hỗ trợ cho các cá nhân có kết quả đạt yêu cầu; đối với cá nhân không đạt yêu cầu, gửi thông báo kết quả kiểm tra, sát hạch cho cơ quan, tổ chức, doanh nghiệp đề nghị đào </w:t>
            </w:r>
            <w:r>
              <w:rPr>
                <w:rFonts w:ascii="Times New Roman" w:eastAsia="Times New Roman" w:hAnsi="Times New Roman" w:cs="Times New Roman"/>
                <w:sz w:val="26"/>
              </w:rPr>
              <w:t xml:space="preserve">tạo, huấn </w:t>
            </w:r>
            <w:r>
              <w:rPr>
                <w:rFonts w:ascii="Times New Roman" w:eastAsia="Times New Roman" w:hAnsi="Times New Roman" w:cs="Times New Roman"/>
                <w:sz w:val="26"/>
              </w:rPr>
              <w:lastRenderedPageBreak/>
              <w:t>luyện biết.</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Trực tuyến</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03 Ngày làm việc</w:t>
            </w:r>
          </w:p>
        </w:tc>
        <w:tc>
          <w:tcPr>
            <w:tcW w:w="0" w:type="auto"/>
          </w:tcPr>
          <w:p w:rsidR="00F5165A" w:rsidRDefault="00F5165A"/>
          <w:p w:rsidR="00F5165A" w:rsidRDefault="00F5165A">
            <w:pPr>
              <w:spacing w:after="0" w:line="276" w:lineRule="auto"/>
            </w:pP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Trong thời hạn 03 ngày làm việc, kể từ ngày nhận đủ hồ sơ, Cục Cảnh sát quản lý hành chính về trật tự xã hội, Bộ Công an hoặc Phòng Cảnh sát quản lý hành chính về trật tự xã hội, Công an cấp tỉnh có trách nhiệm kiểm tra hồ sơ, xây dựng kế hoạch và quyết định mở lớp đào tạo, huấn luyện.   Trong thời hạn 05 ngày làm việc, sau khi kết thúc kiểm tra, sát hạch, Cục Cảnh sát quản lý hành chính về trật tự xã hội, Bộ Công an hoặc Phòng Cảnh sát quản lý hành chính về trật tự xã hội, Công an cấp tỉnh có trách nhiệm c</w:t>
            </w:r>
            <w:r>
              <w:rPr>
                <w:rFonts w:ascii="Times New Roman" w:eastAsia="Times New Roman" w:hAnsi="Times New Roman" w:cs="Times New Roman"/>
                <w:sz w:val="26"/>
              </w:rPr>
              <w:t>ấp giấy chứng nhận sử dụng vũ khí, vật liệu nổ quân dụng, công cụ hỗ trợ; chứng chỉ quản lý kho, nơi cất giữ vũ khí, vật liệu nổ quân dụng, công cụ hỗ trợ cho các cá nhân có kết quả đạt yêu cầu; đối với cá nhân không đạt yêu cầu, gửi thông báo kết quả kiểm tra, sát hạch cho cơ quan, tổ chức, doanh nghiệp đề nghị đào tạo, huấn luyện biết.</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Dịch vụ bưu chính</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03 Ngày làm việc</w:t>
            </w:r>
          </w:p>
        </w:tc>
        <w:tc>
          <w:tcPr>
            <w:tcW w:w="0" w:type="auto"/>
          </w:tcPr>
          <w:p w:rsidR="00F5165A" w:rsidRDefault="00F5165A"/>
          <w:p w:rsidR="00F5165A" w:rsidRDefault="00F5165A">
            <w:pPr>
              <w:spacing w:after="0" w:line="276" w:lineRule="auto"/>
            </w:pP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Cục Cảnh sát quản lý hành chính về trật tự xã hội, Bộ Công an hoặc Phòng Cảnh sát quản lý hành chính về trật tự xã hội, Công an cấp tỉnh có trách nhiệm kiểm tra hồ sơ, xây dựng kế hoạch và quyết định mở lớp đào tạo, huấn luyện.   Trong thời hạn 05 ngày làm vi</w:t>
            </w:r>
            <w:r>
              <w:rPr>
                <w:rFonts w:ascii="Times New Roman" w:eastAsia="Times New Roman" w:hAnsi="Times New Roman" w:cs="Times New Roman"/>
                <w:sz w:val="26"/>
              </w:rPr>
              <w:t xml:space="preserve">ệc, sau khi kết thúc kiểm tra, sát hạch, Cục Cảnh sát quản lý hành chính về trật tự xã hội, Bộ Công an hoặc Phòng Cảnh sát quản lý hành chính về trật tự xã hội, Công an cấp tỉnh có trách nhiệm cấp giấy chứng nhận sử dụng vũ khí, vật liệu nổ quân dụng, công cụ hỗ trợ; chứng chỉ quản lý kho, nơi cất giữ vũ khí, vật liệu nổ quân dụng, công cụ hỗ trợ cho các cá nhân có kết quả đạt yêu cầu; đối với cá nhân không đạt yêu cầu, gửi thông báo kết quả kiểm tra, sát hạch cho cơ quan, tổ chức, doanh nghiệp đề nghị đào </w:t>
            </w:r>
            <w:r>
              <w:rPr>
                <w:rFonts w:ascii="Times New Roman" w:eastAsia="Times New Roman" w:hAnsi="Times New Roman" w:cs="Times New Roman"/>
                <w:sz w:val="26"/>
              </w:rPr>
              <w:t>tạo, huấn luyện biết.</w:t>
            </w:r>
          </w:p>
        </w:tc>
      </w:tr>
    </w:tbl>
    <w:p w:rsidR="00F5165A" w:rsidRDefault="00244DFC">
      <w:pPr>
        <w:spacing w:before="240" w:after="0" w:line="276" w:lineRule="auto"/>
        <w:jc w:val="both"/>
      </w:pPr>
      <w:r>
        <w:rPr>
          <w:rFonts w:ascii="Times New Roman" w:eastAsia="Times New Roman" w:hAnsi="Times New Roman" w:cs="Times New Roman"/>
          <w:b/>
          <w:sz w:val="26"/>
        </w:rPr>
        <w:t xml:space="preserve">Thành phần hồ sơ: </w:t>
      </w:r>
    </w:p>
    <w:p w:rsidR="00F5165A" w:rsidRDefault="00244DFC">
      <w:pPr>
        <w:shd w:val="clear" w:color="auto" w:fill="F2F6F9"/>
        <w:spacing w:before="120" w:after="0" w:line="276" w:lineRule="auto"/>
        <w:jc w:val="both"/>
      </w:pPr>
      <w:r>
        <w:rPr>
          <w:rFonts w:ascii="Times New Roman" w:eastAsia="Times New Roman" w:hAnsi="Times New Roman" w:cs="Times New Roman"/>
          <w:b/>
          <w:sz w:val="26"/>
        </w:rPr>
        <w:t>Theo quy định tại Điều 16 Nghị định số 149/2024/NĐ-CP ngày 15/11/2024 của Chính phủ quy định chi tiết một số điều và biện pháp thi hành Luật Quản lý, sử dụng vũ khí, vật liệu nổ và công cụ hỗ trợ (Luật số 42/2024/QH15 ngày 29/6/2024), cụ thể:</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0"/>
        <w:gridCol w:w="862"/>
        <w:gridCol w:w="963"/>
      </w:tblGrid>
      <w:tr w:rsidR="00F5165A">
        <w:tblPrEx>
          <w:tblCellMar>
            <w:top w:w="0" w:type="dxa"/>
            <w:bottom w:w="0" w:type="dxa"/>
          </w:tblCellMar>
        </w:tblPrEx>
        <w:tc>
          <w:tcPr>
            <w:tcW w:w="6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Tên giấy tờ</w:t>
            </w:r>
          </w:p>
        </w:tc>
        <w:tc>
          <w:tcPr>
            <w:tcW w:w="2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Mẫu đơn, tờ khai</w:t>
            </w:r>
          </w:p>
        </w:tc>
        <w:tc>
          <w:tcPr>
            <w:tcW w:w="2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Số lượng</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Văn bản đề nghị, trong đó nêu rõ nhu cầu, số lượng người tham gia đào tạo, huấn luyện; thời gian, địa điểm tổ chức đào tạo, huấn luyện. Trường hợp trực tiếp nộp hồ sơ thì văn bản đề nghị bổ sung họ tên, số định danh cá nhân hoặc số hộ chiếu của người đến liên hệ.</w:t>
            </w:r>
          </w:p>
        </w:tc>
        <w:tc>
          <w:tcPr>
            <w:tcW w:w="0" w:type="auto"/>
          </w:tcPr>
          <w:p w:rsidR="00F5165A" w:rsidRDefault="00F5165A"/>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Danh sách người tham gia đào tạo, huấn luyện, trong đó ghi rõ họ tên, ngày, tháng, năm sinh, số định danh cá nhân, chức vụ</w:t>
            </w:r>
          </w:p>
        </w:tc>
        <w:tc>
          <w:tcPr>
            <w:tcW w:w="0" w:type="auto"/>
          </w:tcPr>
          <w:p w:rsidR="00F5165A" w:rsidRDefault="00F5165A"/>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Kèm theo 03 ảnh màu chụp kiểu chân dung cỡ 03 cm x 04 cm, mặc trang phục theo quy định (ảnh chụp không quá 06 tháng tính đến ngày nhận hồ sơ)</w:t>
            </w:r>
          </w:p>
        </w:tc>
        <w:tc>
          <w:tcPr>
            <w:tcW w:w="0" w:type="auto"/>
          </w:tcPr>
          <w:p w:rsidR="00F5165A" w:rsidRDefault="00F5165A"/>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Trường hợp Cục Trang bị và kho vận, Bộ Công an; các học viện, trường Công an nhân dân, Trung tâm huấn luyện và bồi dưỡng nghiệp vụ Công an nhân dân tổ chức đào tạo, huấn luyện thì sau khi kết thúc đào tạo, huấn luyện, phải có văn bản đề nghị; danh sách người tham gia đào tạo, huấn luyện, trong đó ghi rõ họ tên, ngày, tháng, năm sinh, số định danh cá nhân, chức vụ; kèm theo 03 ảnh màu chụp kiểu chân dung cỡ 03 cm x 04 cm, mặc trang phục theo quy định (ảnh chụp không quá 06 tháng tính đến ngày nhận hồ sơ) gửi</w:t>
            </w:r>
            <w:r>
              <w:rPr>
                <w:rFonts w:ascii="Times New Roman" w:eastAsia="Times New Roman" w:hAnsi="Times New Roman" w:cs="Times New Roman"/>
                <w:sz w:val="26"/>
              </w:rPr>
              <w:t xml:space="preserve"> Cục Cảnh sát quản lý hành chính về trật tự xã hội, Bộ Công an hoặc Phòng Cảnh sát quản lý hành chính về trật tự xã hội, Công an cấp tỉnh để tổ chức kiểm tra, sát hạch</w:t>
            </w:r>
          </w:p>
        </w:tc>
        <w:tc>
          <w:tcPr>
            <w:tcW w:w="0" w:type="auto"/>
          </w:tcPr>
          <w:p w:rsidR="00F5165A" w:rsidRDefault="00F5165A"/>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5165A" w:rsidRDefault="00244DF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F5165A" w:rsidRDefault="00244DF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rsidR="00F5165A" w:rsidRDefault="00244DF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F5165A" w:rsidRDefault="00244DF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F5165A" w:rsidRDefault="00244DF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5165A" w:rsidRDefault="00244DF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F5165A" w:rsidRDefault="00244DF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 xml:space="preserve">Tổ chức đào tạo, huấn luyện về quản lý, sử dụng vũ khí, vật liệu nổ quân dụng, công cụ hỗ trợ và cấp Giấy chứng nhận sử dụng vũ khí, vật liệu nổ quân dụng, công cụ hỗ trợ (Mẫu VC14 ban hành kèm theo Thông tư số 77/2024/TT-BCA ngày 15/11/2024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 chứng chỉ quản lý kho, nơi cất giữ vũ khí, </w:t>
      </w:r>
      <w:r>
        <w:rPr>
          <w:rFonts w:ascii="Times New Roman" w:eastAsia="Times New Roman" w:hAnsi="Times New Roman" w:cs="Times New Roman"/>
          <w:sz w:val="26"/>
        </w:rPr>
        <w:t>vật liệu nổ quân dụng, công cụ hỗ trợ (Mẫu VC15 ban hành kèm theo Thông tư số 77/2024/TT-BCA ngày 15/11/2024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w:t>
      </w:r>
    </w:p>
    <w:p w:rsidR="00F5165A" w:rsidRDefault="00244DF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81"/>
        <w:gridCol w:w="810"/>
        <w:gridCol w:w="1255"/>
      </w:tblGrid>
      <w:tr w:rsidR="00F5165A">
        <w:tblPrEx>
          <w:tblCellMar>
            <w:top w:w="0" w:type="dxa"/>
            <w:bottom w:w="0" w:type="dxa"/>
          </w:tblCellMar>
        </w:tblPrEx>
        <w:tc>
          <w:tcPr>
            <w:tcW w:w="2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Số ký hiệu</w:t>
            </w:r>
          </w:p>
        </w:tc>
        <w:tc>
          <w:tcPr>
            <w:tcW w:w="35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Trích yếu</w:t>
            </w:r>
          </w:p>
        </w:tc>
        <w:tc>
          <w:tcPr>
            <w:tcW w:w="15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Ngày ban hành</w:t>
            </w:r>
          </w:p>
        </w:tc>
        <w:tc>
          <w:tcPr>
            <w:tcW w:w="3000" w:type="dxa"/>
          </w:tcPr>
          <w:p w:rsidR="00F5165A" w:rsidRDefault="00F5165A"/>
          <w:p w:rsidR="00F5165A" w:rsidRDefault="00244DFC">
            <w:pPr>
              <w:spacing w:after="0" w:line="276" w:lineRule="auto"/>
              <w:jc w:val="center"/>
            </w:pPr>
            <w:r>
              <w:rPr>
                <w:rFonts w:ascii="Times New Roman" w:eastAsia="Times New Roman" w:hAnsi="Times New Roman" w:cs="Times New Roman"/>
                <w:b/>
                <w:sz w:val="26"/>
              </w:rPr>
              <w:t>Cơ quan ban hành</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42/2024/QH15</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29-06-2024</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Quốc Hội</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149/2024/NĐ-CP</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Nghị định quy định chi tiết một số điều và biện pháp thi hành Luật Quản lý, sử dụng vũ khí, vật liệu nổ và công cụ hỗ trợ</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15-11-2024</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Chính phủ</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75/2024/TT-BCA</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15-11-2024</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Bộ trưởng Bộ Công an</w:t>
            </w:r>
          </w:p>
        </w:tc>
      </w:tr>
      <w:tr w:rsidR="00F5165A">
        <w:tblPrEx>
          <w:tblCellMar>
            <w:top w:w="0" w:type="dxa"/>
            <w:bottom w:w="0" w:type="dxa"/>
          </w:tblCellMar>
        </w:tblPrEx>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77/2024/TT-BCA</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15-11-2024</w:t>
            </w:r>
          </w:p>
        </w:tc>
        <w:tc>
          <w:tcPr>
            <w:tcW w:w="0" w:type="auto"/>
          </w:tcPr>
          <w:p w:rsidR="00F5165A" w:rsidRDefault="00F5165A"/>
          <w:p w:rsidR="00F5165A" w:rsidRDefault="00244DFC">
            <w:pPr>
              <w:spacing w:after="0" w:line="276" w:lineRule="auto"/>
            </w:pPr>
            <w:r>
              <w:rPr>
                <w:rFonts w:ascii="Times New Roman" w:eastAsia="Times New Roman" w:hAnsi="Times New Roman" w:cs="Times New Roman"/>
                <w:sz w:val="26"/>
              </w:rPr>
              <w:t>Bộ trưởng Bộ Công an</w:t>
            </w:r>
          </w:p>
        </w:tc>
      </w:tr>
    </w:tbl>
    <w:p w:rsidR="00F5165A" w:rsidRDefault="00244DF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cấp đổi giấy chứng nhận sử dụng vũ khí, vật liệu nổ quân dụng, công cụ hỗ trợ; chứng chỉ quản lý kho, nơi cất giữ vũ khí, vật liệu nổ quân dụng, công cụ hỗ trợ cho cá nhân được tham gia đào tạo, huấn luyện và có kết quả kiểm tra, sát hạch đạt yêu cầu theo quy định tại Điều 17 Nghị định số 149/2024/NĐ-CP ngày 15/11/2024 của Chính phủ quy định chi tiết một số điều và biện pháp thi hành Luật Quản lý, sử dụng vũ khí, vật liệu nổ và công cụ hỗ trợ.</w:t>
      </w:r>
    </w:p>
    <w:p w:rsidR="00F5165A" w:rsidRDefault="00244DF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5165A" w:rsidRDefault="00244DF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https://thutuc.dichvucong.gov.vn/p/home/dvc-tthc-thu-tuc-hanh-chinh-chi-tiet.html?ma_thu_tuc=373799</w:t>
      </w:r>
    </w:p>
    <w:sectPr w:rsidR="00F5165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165A"/>
    <w:rsid w:val="00244DFC"/>
    <w:rsid w:val="00EE2656"/>
    <w:rsid w:val="00F5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EADE3A-67A9-4562-A6DA-3FFF1A13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1689</Words>
  <Characters>9631</Characters>
  <Application>Microsoft Office Word</Application>
  <DocSecurity>0</DocSecurity>
  <Lines>80</Lines>
  <Paragraphs>22</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2025-11-24T09:21:00Z</dcterms:created>
  <dcterms:modified xsi:type="dcterms:W3CDTF">2025-11-24T09:21:00Z</dcterms:modified>
</cp:coreProperties>
</file>