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2932" w:rsidRDefault="00985E15">
      <w:pPr>
        <w:spacing w:after="300" w:line="276" w:lineRule="auto"/>
        <w:jc w:val="center"/>
      </w:pPr>
      <w:r>
        <w:rPr>
          <w:rFonts w:ascii="Times New Roman" w:eastAsia="Times New Roman" w:hAnsi="Times New Roman" w:cs="Times New Roman"/>
          <w:b/>
          <w:sz w:val="26"/>
        </w:rPr>
        <w:t>Chi tiết thủ tục hành chính</w:t>
      </w:r>
    </w:p>
    <w:p w:rsidR="00ED2932" w:rsidRDefault="00985E1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1.014063</w:t>
      </w:r>
    </w:p>
    <w:p w:rsidR="00ED2932" w:rsidRDefault="00985E1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rsidR="00ED2932" w:rsidRDefault="00985E1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đổi thẻ căn cước</w:t>
      </w:r>
    </w:p>
    <w:p w:rsidR="00ED2932" w:rsidRDefault="00985E1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ED2932" w:rsidRDefault="00985E1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ED2932" w:rsidRDefault="00985E1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ED2932" w:rsidRDefault="00985E15">
      <w:pPr>
        <w:spacing w:after="0" w:line="276" w:lineRule="auto"/>
        <w:jc w:val="both"/>
      </w:pPr>
      <w:r>
        <w:rPr>
          <w:rFonts w:ascii="Times New Roman" w:eastAsia="Times New Roman" w:hAnsi="Times New Roman" w:cs="Times New Roman"/>
          <w:b/>
          <w:sz w:val="26"/>
        </w:rPr>
        <w:t xml:space="preserve">Trình tự thực hiện: </w:t>
      </w:r>
    </w:p>
    <w:p w:rsidR="00ED2932" w:rsidRDefault="00ED2932">
      <w:pPr>
        <w:shd w:val="clear" w:color="auto" w:fill="F2F6F9"/>
        <w:spacing w:before="120" w:after="0" w:line="276" w:lineRule="auto"/>
        <w:jc w:val="both"/>
      </w:pPr>
    </w:p>
    <w:p w:rsidR="00ED2932" w:rsidRDefault="00985E15">
      <w:pPr>
        <w:spacing w:after="0" w:line="276" w:lineRule="auto"/>
        <w:jc w:val="both"/>
      </w:pPr>
      <w:r>
        <w:rPr>
          <w:rFonts w:ascii="Times New Roman" w:eastAsia="Times New Roman" w:hAnsi="Times New Roman" w:cs="Times New Roman"/>
          <w:sz w:val="26"/>
        </w:rPr>
        <w:t>- Bước 1:  + Công dân đến Công an cấp xã hoặc bộ phận một của cấp xã trong cả nước không phụ thuộc vào nơi cư trú đề nghị cấp đổi thẻ căn cước. + Công dân thông qua Cổng dịch vụ công quốc gia, Cổng dịch vụ công Bộ Công an, ứng dụng định danh quốc gia lựa chọn thủ tục, kiểm tra thông tin của mình được khai thác trong Cơ sở dữ liệu quốc gia về dân cư. Trường hợp thông tin chính xác thì đăng ký thời gian, địa điểm thực hiện thủ tục tại Công an cấp xã trong cả nước không phụ thuộc vào nơi cư trú. Hệ thống sẽ xá</w:t>
      </w:r>
      <w:r>
        <w:rPr>
          <w:rFonts w:ascii="Times New Roman" w:eastAsia="Times New Roman" w:hAnsi="Times New Roman" w:cs="Times New Roman"/>
          <w:sz w:val="26"/>
        </w:rPr>
        <w:t>c nhận và tự động chuyển đề nghị của công dân đến cơ quan quản lý căn cước nơi công dân đề nghị cấp đổi thẻ căn cước. + Trường hợp người đề nghị cấp đổi thẻ căn cước là người đại diện hợp pháp của người dưới 14 tuổi thì hồ sơ đề nghị cấp đổi thẻ căn cước phải có giấy tờ, tài liệu có giá trị pháp lý chứng minh là người đại diện hợp pháp của người dưới 14 tuổi. + Trường hợp người đại diện hợp pháp thực hiện thủ tục cấp đổi thẻ căn cước cho người dưới 06 tuổi, cấp đổi thẻ căn cước khi thông tin trên thẻ căn cư</w:t>
      </w:r>
      <w:r>
        <w:rPr>
          <w:rFonts w:ascii="Times New Roman" w:eastAsia="Times New Roman" w:hAnsi="Times New Roman" w:cs="Times New Roman"/>
          <w:sz w:val="26"/>
        </w:rPr>
        <w:t>ớc thay đổi do sắp xếp đơn vị hành chính qua Cổng dịch vụ công quốc gia, Cổng dịch vụ công Bộ Công an, ứng dụng định danh quốc gia thì lựa chọn thủ tục, kiểm tra thông tin của người dưới 06 tuổi, người yêu cầu cấp đổi thẻ căn cước khi thông tin trên thẻ căn cước thay đổi do sắp xếp đơn vị hành chính trong Cơ sở dữ liệu quốc gia về dân cư. Trường hợp thông tin chính xác thì người đại diện hợp pháp xác nhận chuyển hồ sơ đề nghị đến cơ quan quản lý căn cước xem xét, giải quyết việc cấp đổi thẻ căn cước. (Lưu ý</w:t>
      </w:r>
      <w:r>
        <w:rPr>
          <w:rFonts w:ascii="Times New Roman" w:eastAsia="Times New Roman" w:hAnsi="Times New Roman" w:cs="Times New Roman"/>
          <w:sz w:val="26"/>
        </w:rPr>
        <w:t xml:space="preserve">: Lộ trình cấp đổi thẻ căn cước tại Công an cấp xã trong cả nước không phụ thuộc vào nơi cư trú thực hiện theo thông báo của Bộ Công an) - Bước 2: Công dân cung cấp thông tin gồm họ, chữ đệm và tên khai sinh, số định danh cá nhân, nơi cư trú để người tiếp nhận kiểm tra đối chiếu thông tin trong Cơ sở dữ liệu quốc gia về dân cư; - Bước 3: Cán bộ thu nhận tìm kiếm thông tin công dân trong Cơ sở dữ liệu quốc gia về dân cư để lập hồ sơ cấp đổi thẻ căn cước. + Trường hợp thông tin công dân không có sự thay đổi, </w:t>
      </w:r>
      <w:r>
        <w:rPr>
          <w:rFonts w:ascii="Times New Roman" w:eastAsia="Times New Roman" w:hAnsi="Times New Roman" w:cs="Times New Roman"/>
          <w:sz w:val="26"/>
        </w:rPr>
        <w:t xml:space="preserve">điều chỉnh thì sử dụng thông tin của công dân trong cơ sở dữ liệu quốc gia về dân cư để lập hồ sơ cấp đổi thẻ căn cước. + Trường hợp thông tin công dân có sự thay đổi, điều chỉnh thì Cán bộ thu nhận hướng dẫn công dân thực hiện thủ tục điều chỉnh thông tin trong Cơ sở dữ liệu quốc gia về dân cư trước khi thực hiện thủ tục cấp đổi thẻ căn cước. + Trường hợp thông tin công dân có sự thay đổi, điều chỉnh do sắp xếp đơn vị hành chính thì Cán bộ thu nhận thì cán </w:t>
      </w:r>
      <w:r>
        <w:rPr>
          <w:rFonts w:ascii="Times New Roman" w:eastAsia="Times New Roman" w:hAnsi="Times New Roman" w:cs="Times New Roman"/>
          <w:sz w:val="26"/>
        </w:rPr>
        <w:lastRenderedPageBreak/>
        <w:t>bộ thu nhận sử dụng thông tin về ảnh khuôn mặt, vâ</w:t>
      </w:r>
      <w:r>
        <w:rPr>
          <w:rFonts w:ascii="Times New Roman" w:eastAsia="Times New Roman" w:hAnsi="Times New Roman" w:cs="Times New Roman"/>
          <w:sz w:val="26"/>
        </w:rPr>
        <w:t xml:space="preserve">n tay, mống mắt đã được thu nhận lần gần nhất và các thông tin hiện có trong Cơ sở dữ liệu quốc gia về dân cư, Cơ sở dữ liệu căn cước để cấp đổi thẻ căn cước.  + Trường hợp công dân không đủ điều kiện đổi thẻ căn cước thì từ chối tiếp nhận và nêu rõ lý do, thông báo về việc từ chối giải quyết thủ tục về căn cước (Mẫu CC03 ban hành kèm theo Thông tư số 53/2025/TT-BCA ngày 01/7/2025 của Bộ Công an). - Bước 4: Tiến hành thu nhận vân tay, chụp ảnh khuôn mặt, thu nhận ảnh mống mắt của công dân từ đủ 06 tuổi trở </w:t>
      </w:r>
      <w:r>
        <w:rPr>
          <w:rFonts w:ascii="Times New Roman" w:eastAsia="Times New Roman" w:hAnsi="Times New Roman" w:cs="Times New Roman"/>
          <w:sz w:val="26"/>
        </w:rPr>
        <w:t>lên trừ trường hợp người yêu cầu cấp đổi thẻ căn cước khi thông tin trên thẻ căn cước thay đổi do sắp xếp đơn vị hành chính.  - Bước 5: In Phiếu thu nhận thông tin căn cước cho công dân hoặc người đại diện của người dưới 14 tuổi kiểm tra, ký xác nhận. - Bước 6: Thu thẻ căn cước cũ, thu lệ phí (nếu có) và cấp giấy hẹn trả kết quả giải quyết thủ tục về căn cước cho công dân (mẫu CC02 ban hành kèm theo Thông tư số 17/2024/TT-BCA ngày 15/5/2024 của Bộ Công an). - Bước 7: Nhận kết quả trực tiếp tại Công an cấp x</w:t>
      </w:r>
      <w:r>
        <w:rPr>
          <w:rFonts w:ascii="Times New Roman" w:eastAsia="Times New Roman" w:hAnsi="Times New Roman" w:cs="Times New Roman"/>
          <w:sz w:val="26"/>
        </w:rPr>
        <w:t>ã hoặc trả qua dịch vụ bưu chính đến địa chỉ theo yêu cầu.</w:t>
      </w:r>
    </w:p>
    <w:p w:rsidR="00ED2932" w:rsidRDefault="00985E1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9"/>
        <w:gridCol w:w="772"/>
        <w:gridCol w:w="4238"/>
        <w:gridCol w:w="3672"/>
      </w:tblGrid>
      <w:tr w:rsidR="00ED2932">
        <w:tblPrEx>
          <w:tblCellMar>
            <w:top w:w="0" w:type="dxa"/>
            <w:bottom w:w="0" w:type="dxa"/>
          </w:tblCellMar>
        </w:tblPrEx>
        <w:tc>
          <w:tcPr>
            <w:tcW w:w="1500" w:type="dxa"/>
          </w:tcPr>
          <w:p w:rsidR="00ED2932" w:rsidRDefault="00ED2932"/>
          <w:p w:rsidR="00ED2932" w:rsidRDefault="00985E15">
            <w:pPr>
              <w:spacing w:after="0" w:line="276" w:lineRule="auto"/>
              <w:jc w:val="center"/>
            </w:pPr>
            <w:r>
              <w:rPr>
                <w:rFonts w:ascii="Times New Roman" w:eastAsia="Times New Roman" w:hAnsi="Times New Roman" w:cs="Times New Roman"/>
                <w:b/>
                <w:sz w:val="26"/>
              </w:rPr>
              <w:t>Hình thức nộp</w:t>
            </w:r>
          </w:p>
        </w:tc>
        <w:tc>
          <w:tcPr>
            <w:tcW w:w="2000" w:type="dxa"/>
          </w:tcPr>
          <w:p w:rsidR="00ED2932" w:rsidRDefault="00ED2932"/>
          <w:p w:rsidR="00ED2932" w:rsidRDefault="00985E1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D2932" w:rsidRDefault="00ED2932"/>
          <w:p w:rsidR="00ED2932" w:rsidRDefault="00985E15">
            <w:pPr>
              <w:spacing w:after="0" w:line="276" w:lineRule="auto"/>
              <w:jc w:val="center"/>
            </w:pPr>
            <w:r>
              <w:rPr>
                <w:rFonts w:ascii="Times New Roman" w:eastAsia="Times New Roman" w:hAnsi="Times New Roman" w:cs="Times New Roman"/>
                <w:b/>
                <w:sz w:val="26"/>
              </w:rPr>
              <w:t>Phí, lệ phí</w:t>
            </w:r>
          </w:p>
        </w:tc>
        <w:tc>
          <w:tcPr>
            <w:tcW w:w="3000" w:type="dxa"/>
          </w:tcPr>
          <w:p w:rsidR="00ED2932" w:rsidRDefault="00ED2932"/>
          <w:p w:rsidR="00ED2932" w:rsidRDefault="00985E15">
            <w:pPr>
              <w:spacing w:after="0" w:line="276" w:lineRule="auto"/>
              <w:jc w:val="center"/>
            </w:pPr>
            <w:r>
              <w:rPr>
                <w:rFonts w:ascii="Times New Roman" w:eastAsia="Times New Roman" w:hAnsi="Times New Roman" w:cs="Times New Roman"/>
                <w:b/>
                <w:sz w:val="26"/>
              </w:rPr>
              <w:t>Mô tả</w:t>
            </w:r>
          </w:p>
        </w:tc>
      </w:tr>
      <w:tr w:rsidR="00ED2932">
        <w:tblPrEx>
          <w:tblCellMar>
            <w:top w:w="0" w:type="dxa"/>
            <w:bottom w:w="0" w:type="dxa"/>
          </w:tblCellMar>
        </w:tblPrEx>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Trực tiếp</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07 Ngày làm việc</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Lệ phí : 50.000 Đồng</w:t>
            </w:r>
            <w:r>
              <w:rPr>
                <w:rFonts w:ascii="Times New Roman" w:eastAsia="Times New Roman" w:hAnsi="Times New Roman" w:cs="Times New Roman"/>
                <w:sz w:val="26"/>
              </w:rPr>
              <w:t xml:space="preserve"> (- Cấp đổi thẻ căn cước đối với các trường hợp quy định tại khoản 1 Điều 24 Luật Căn cước: 50.000 đồng/thẻ căn cước;  Kể từ ngày 01/01/2025 đến hết ngày 31/12/2025, mức thu lệ phí khi công dân nộp hồ sơ cấp đổi, cấp lại thẻ căn cước theo hình thức trực tuyển bằng 50% mức thu lệ phí quy định. - Kể từ ngày 01/7/2025 đến hết ngày 31/12/2026 mức thu lệ phí cấp đổi, cấp lại thẻ căn cước bằng 50% mức thu nêu trên theo quy định tại Thông tư số 64/2025/TT-BTC ngày 30/6/2025 của Bộ Tài chính.)</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 Trực tiếp tại trụ sở Công an cấp xã hoặc Bộ phận Một cửa cấp xã trong cả nước không phụ thuộc vào nơi cư trú. - Thời gian tiếp nhận hồ sơ: Giờ hành chính các ngày làm việc từ thứ 2 đến thứ 6 và sáng thứ 7 hàng tuần (trừ các ngày nghỉ lễ, tết theo quy định của pháp luật).</w:t>
            </w:r>
          </w:p>
        </w:tc>
      </w:tr>
      <w:tr w:rsidR="00ED2932">
        <w:tblPrEx>
          <w:tblCellMar>
            <w:top w:w="0" w:type="dxa"/>
            <w:bottom w:w="0" w:type="dxa"/>
          </w:tblCellMar>
        </w:tblPrEx>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tuyến</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 xml:space="preserve">07 </w:t>
            </w:r>
            <w:r>
              <w:rPr>
                <w:rFonts w:ascii="Times New Roman" w:eastAsia="Times New Roman" w:hAnsi="Times New Roman" w:cs="Times New Roman"/>
                <w:sz w:val="26"/>
              </w:rPr>
              <w:lastRenderedPageBreak/>
              <w:t>Ngày làm việc</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 xml:space="preserve">Lệ phí : 50.000 Đồng (- Cấp đổi thẻ căn </w:t>
            </w:r>
            <w:r>
              <w:rPr>
                <w:rFonts w:ascii="Times New Roman" w:eastAsia="Times New Roman" w:hAnsi="Times New Roman" w:cs="Times New Roman"/>
                <w:sz w:val="26"/>
              </w:rPr>
              <w:lastRenderedPageBreak/>
              <w:t>cước đối với các trường hợp quy định tại khoản 1 Điều 24 Luật Căn cước: 50.000 đồng/thẻ căn cước;  Kể từ ngày 01/01/2025 đến hết ngày 31/12/2025, mức thu lệ phí khi công dân nộp hồ sơ cấp đổi, cấp lại thẻ căn cước theo hình thức trực tuyển bằng 50% mức thu lệ phí quy định. - Kể từ ngày 01/7/2025 đến hết ngày 31/12/2026 mức thu lệ phí cấp đổi, cấp lại thẻ căn cước bằng 50% mức thu nêu trên theo quy định tại Thông tư số 64/2025/TT-BTC ngày 30/6/2025 của Bộ Tài chính.)</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 xml:space="preserve">- Thông qua Cổng dịch vụ công </w:t>
            </w:r>
            <w:r>
              <w:rPr>
                <w:rFonts w:ascii="Times New Roman" w:eastAsia="Times New Roman" w:hAnsi="Times New Roman" w:cs="Times New Roman"/>
                <w:sz w:val="26"/>
              </w:rPr>
              <w:lastRenderedPageBreak/>
              <w:t>quốc gia, Cổng dịch vụ công Bộ Công an, Ứng dụng định danh quốc gia để đăng ký thời gian, địa điểm làm thủ tục đề nghị cấp đổi thẻ căn cước. - Thời gian tiếp nhận hồ sơ: Giờ hành chính các ngày làm việc từ thứ 2 đến thứ 6 và sáng thứ 7 hàng tuần (trừ các ngày nghỉ lễ, tết theo quy định của pháp luật).</w:t>
            </w:r>
          </w:p>
        </w:tc>
      </w:tr>
      <w:tr w:rsidR="00ED2932">
        <w:tblPrEx>
          <w:tblCellMar>
            <w:top w:w="0" w:type="dxa"/>
            <w:bottom w:w="0" w:type="dxa"/>
          </w:tblCellMar>
        </w:tblPrEx>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Dịch vụ bưu chính</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07 Ngày làm việc</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Phí :  Đồng (Trả phí cho đơn vị cung cấp dịch vụ.)</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Trả kết quả qua dịch vụ bưu chính.</w:t>
            </w:r>
          </w:p>
        </w:tc>
      </w:tr>
    </w:tbl>
    <w:p w:rsidR="00ED2932" w:rsidRDefault="00985E15">
      <w:pPr>
        <w:spacing w:before="240" w:after="0" w:line="276" w:lineRule="auto"/>
        <w:jc w:val="both"/>
      </w:pPr>
      <w:r>
        <w:rPr>
          <w:rFonts w:ascii="Times New Roman" w:eastAsia="Times New Roman" w:hAnsi="Times New Roman" w:cs="Times New Roman"/>
          <w:b/>
          <w:sz w:val="26"/>
        </w:rPr>
        <w:t xml:space="preserve">Thành phần hồ sơ: </w:t>
      </w:r>
    </w:p>
    <w:p w:rsidR="00ED2932" w:rsidRDefault="00985E1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28"/>
        <w:gridCol w:w="1896"/>
        <w:gridCol w:w="901"/>
      </w:tblGrid>
      <w:tr w:rsidR="00ED2932">
        <w:tblPrEx>
          <w:tblCellMar>
            <w:top w:w="0" w:type="dxa"/>
            <w:bottom w:w="0" w:type="dxa"/>
          </w:tblCellMar>
        </w:tblPrEx>
        <w:tc>
          <w:tcPr>
            <w:tcW w:w="6000" w:type="dxa"/>
          </w:tcPr>
          <w:p w:rsidR="00ED2932" w:rsidRDefault="00ED2932"/>
          <w:p w:rsidR="00ED2932" w:rsidRDefault="00985E15">
            <w:pPr>
              <w:spacing w:after="0" w:line="276" w:lineRule="auto"/>
              <w:jc w:val="center"/>
            </w:pPr>
            <w:r>
              <w:rPr>
                <w:rFonts w:ascii="Times New Roman" w:eastAsia="Times New Roman" w:hAnsi="Times New Roman" w:cs="Times New Roman"/>
                <w:b/>
                <w:sz w:val="26"/>
              </w:rPr>
              <w:t>Tên giấy tờ</w:t>
            </w:r>
          </w:p>
        </w:tc>
        <w:tc>
          <w:tcPr>
            <w:tcW w:w="2000" w:type="dxa"/>
          </w:tcPr>
          <w:p w:rsidR="00ED2932" w:rsidRDefault="00ED2932"/>
          <w:p w:rsidR="00ED2932" w:rsidRDefault="00985E15">
            <w:pPr>
              <w:spacing w:after="0" w:line="276" w:lineRule="auto"/>
              <w:jc w:val="center"/>
            </w:pPr>
            <w:r>
              <w:rPr>
                <w:rFonts w:ascii="Times New Roman" w:eastAsia="Times New Roman" w:hAnsi="Times New Roman" w:cs="Times New Roman"/>
                <w:b/>
                <w:sz w:val="26"/>
              </w:rPr>
              <w:t>Mẫu đơn, tờ khai</w:t>
            </w:r>
          </w:p>
        </w:tc>
        <w:tc>
          <w:tcPr>
            <w:tcW w:w="2000" w:type="dxa"/>
          </w:tcPr>
          <w:p w:rsidR="00ED2932" w:rsidRDefault="00ED2932"/>
          <w:p w:rsidR="00ED2932" w:rsidRDefault="00985E15">
            <w:pPr>
              <w:spacing w:after="0" w:line="276" w:lineRule="auto"/>
              <w:jc w:val="center"/>
            </w:pPr>
            <w:r>
              <w:rPr>
                <w:rFonts w:ascii="Times New Roman" w:eastAsia="Times New Roman" w:hAnsi="Times New Roman" w:cs="Times New Roman"/>
                <w:b/>
                <w:sz w:val="26"/>
              </w:rPr>
              <w:t>Số lượng</w:t>
            </w:r>
          </w:p>
        </w:tc>
      </w:tr>
      <w:tr w:rsidR="00ED2932">
        <w:tblPrEx>
          <w:tblCellMar>
            <w:top w:w="0" w:type="dxa"/>
            <w:bottom w:w="0" w:type="dxa"/>
          </w:tblCellMar>
        </w:tblPrEx>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Phiếu CC01 được tạo lập khi trích xuất thông tin của công dân trong Cơ sở dữ liệu quốc gia về dân cư và in trong quá trình thu nhận hồ sơ căn cước để công dân kiểm tra và ký xác nhận.Trường hợp công dân chưa có thông tin trong cơ sở dữ liệu quốc gia về dân cư thì hồ sơ còn có Phiếu thu thập thông tin dân cư (Mẫu DC01 ban hành kèm theo Thông tư số 53/2025/TT-BCA ngày 01/7/2025 của Bộ Công an); Giấy tờ pháp lý chứa thông tin công dân.</w:t>
            </w:r>
          </w:p>
        </w:tc>
        <w:tc>
          <w:tcPr>
            <w:tcW w:w="0" w:type="auto"/>
          </w:tcPr>
          <w:p w:rsidR="00ED2932" w:rsidRDefault="00ED2932"/>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D2932">
        <w:tblPrEx>
          <w:tblCellMar>
            <w:top w:w="0" w:type="dxa"/>
            <w:bottom w:w="0" w:type="dxa"/>
          </w:tblCellMar>
        </w:tblPrEx>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D2932">
        <w:tblPrEx>
          <w:tblCellMar>
            <w:top w:w="0" w:type="dxa"/>
            <w:bottom w:w="0" w:type="dxa"/>
          </w:tblCellMar>
        </w:tblPrEx>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Giấy tờ, tài liệu có giá trị pháp lý chứng minh là người đại diện hợp pháp của người dưới 14 tuổi</w:t>
            </w:r>
          </w:p>
        </w:tc>
        <w:tc>
          <w:tcPr>
            <w:tcW w:w="0" w:type="auto"/>
          </w:tcPr>
          <w:p w:rsidR="00ED2932" w:rsidRDefault="00ED2932"/>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ED2932" w:rsidRDefault="00985E1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ED2932" w:rsidRDefault="00985E1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ED2932" w:rsidRDefault="00985E1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ED2932" w:rsidRDefault="00985E1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ED2932" w:rsidRDefault="00985E1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D2932" w:rsidRDefault="00985E1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D2932" w:rsidRDefault="00985E1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căn cước</w:t>
      </w:r>
    </w:p>
    <w:p w:rsidR="00ED2932" w:rsidRDefault="00985E1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4"/>
        <w:gridCol w:w="6024"/>
        <w:gridCol w:w="738"/>
        <w:gridCol w:w="1019"/>
      </w:tblGrid>
      <w:tr w:rsidR="00ED2932">
        <w:tblPrEx>
          <w:tblCellMar>
            <w:top w:w="0" w:type="dxa"/>
            <w:bottom w:w="0" w:type="dxa"/>
          </w:tblCellMar>
        </w:tblPrEx>
        <w:tc>
          <w:tcPr>
            <w:tcW w:w="2000" w:type="dxa"/>
          </w:tcPr>
          <w:p w:rsidR="00ED2932" w:rsidRDefault="00ED2932"/>
          <w:p w:rsidR="00ED2932" w:rsidRDefault="00985E15">
            <w:pPr>
              <w:spacing w:after="0" w:line="276" w:lineRule="auto"/>
              <w:jc w:val="center"/>
            </w:pPr>
            <w:r>
              <w:rPr>
                <w:rFonts w:ascii="Times New Roman" w:eastAsia="Times New Roman" w:hAnsi="Times New Roman" w:cs="Times New Roman"/>
                <w:b/>
                <w:sz w:val="26"/>
              </w:rPr>
              <w:t>Số ký hiệu</w:t>
            </w:r>
          </w:p>
        </w:tc>
        <w:tc>
          <w:tcPr>
            <w:tcW w:w="3500" w:type="dxa"/>
          </w:tcPr>
          <w:p w:rsidR="00ED2932" w:rsidRDefault="00ED2932"/>
          <w:p w:rsidR="00ED2932" w:rsidRDefault="00985E15">
            <w:pPr>
              <w:spacing w:after="0" w:line="276" w:lineRule="auto"/>
              <w:jc w:val="center"/>
            </w:pPr>
            <w:r>
              <w:rPr>
                <w:rFonts w:ascii="Times New Roman" w:eastAsia="Times New Roman" w:hAnsi="Times New Roman" w:cs="Times New Roman"/>
                <w:b/>
                <w:sz w:val="26"/>
              </w:rPr>
              <w:t>Trích yếu</w:t>
            </w:r>
          </w:p>
        </w:tc>
        <w:tc>
          <w:tcPr>
            <w:tcW w:w="1500" w:type="dxa"/>
          </w:tcPr>
          <w:p w:rsidR="00ED2932" w:rsidRDefault="00ED2932"/>
          <w:p w:rsidR="00ED2932" w:rsidRDefault="00985E15">
            <w:pPr>
              <w:spacing w:after="0" w:line="276" w:lineRule="auto"/>
              <w:jc w:val="center"/>
            </w:pPr>
            <w:r>
              <w:rPr>
                <w:rFonts w:ascii="Times New Roman" w:eastAsia="Times New Roman" w:hAnsi="Times New Roman" w:cs="Times New Roman"/>
                <w:b/>
                <w:sz w:val="26"/>
              </w:rPr>
              <w:t>Ngày ban hành</w:t>
            </w:r>
          </w:p>
        </w:tc>
        <w:tc>
          <w:tcPr>
            <w:tcW w:w="3000" w:type="dxa"/>
          </w:tcPr>
          <w:p w:rsidR="00ED2932" w:rsidRDefault="00ED2932"/>
          <w:p w:rsidR="00ED2932" w:rsidRDefault="00985E15">
            <w:pPr>
              <w:spacing w:after="0" w:line="276" w:lineRule="auto"/>
              <w:jc w:val="center"/>
            </w:pPr>
            <w:r>
              <w:rPr>
                <w:rFonts w:ascii="Times New Roman" w:eastAsia="Times New Roman" w:hAnsi="Times New Roman" w:cs="Times New Roman"/>
                <w:b/>
                <w:sz w:val="26"/>
              </w:rPr>
              <w:t>Cơ quan ban hành</w:t>
            </w:r>
          </w:p>
        </w:tc>
      </w:tr>
      <w:tr w:rsidR="00ED2932">
        <w:tblPrEx>
          <w:tblCellMar>
            <w:top w:w="0" w:type="dxa"/>
            <w:bottom w:w="0" w:type="dxa"/>
          </w:tblCellMar>
        </w:tblPrEx>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26/2023/QH15</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Luật Căn cước</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27-11-2023</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Quốc Hội</w:t>
            </w:r>
          </w:p>
        </w:tc>
      </w:tr>
      <w:tr w:rsidR="00ED2932">
        <w:tblPrEx>
          <w:tblCellMar>
            <w:top w:w="0" w:type="dxa"/>
            <w:bottom w:w="0" w:type="dxa"/>
          </w:tblCellMar>
        </w:tblPrEx>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70/2024/NĐ-CP</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25-06-2024</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Chính phủ</w:t>
            </w:r>
          </w:p>
        </w:tc>
      </w:tr>
      <w:tr w:rsidR="00ED2932">
        <w:tblPrEx>
          <w:tblCellMar>
            <w:top w:w="0" w:type="dxa"/>
            <w:bottom w:w="0" w:type="dxa"/>
          </w:tblCellMar>
        </w:tblPrEx>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16/2024/TT-BCA</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15-05-2024</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Bộ Công an</w:t>
            </w:r>
          </w:p>
        </w:tc>
      </w:tr>
      <w:tr w:rsidR="00ED2932">
        <w:tblPrEx>
          <w:tblCellMar>
            <w:top w:w="0" w:type="dxa"/>
            <w:bottom w:w="0" w:type="dxa"/>
          </w:tblCellMar>
        </w:tblPrEx>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17/2024/TT-BCA</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15-05-2024</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Bộ Công an</w:t>
            </w:r>
          </w:p>
        </w:tc>
      </w:tr>
      <w:tr w:rsidR="00ED2932">
        <w:tblPrEx>
          <w:tblCellMar>
            <w:top w:w="0" w:type="dxa"/>
            <w:bottom w:w="0" w:type="dxa"/>
          </w:tblCellMar>
        </w:tblPrEx>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18/2024/TT-BCA</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15-05-2024</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Bộ Công an</w:t>
            </w:r>
          </w:p>
        </w:tc>
      </w:tr>
      <w:tr w:rsidR="00ED2932">
        <w:tblPrEx>
          <w:tblCellMar>
            <w:top w:w="0" w:type="dxa"/>
            <w:bottom w:w="0" w:type="dxa"/>
          </w:tblCellMar>
        </w:tblPrEx>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64/2025/TT-BTC</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Thông tư quy định mức thu, miễn một số khoản phí, lệ phí nhằm hỗ trợ cho doanh nghiệp, người dân</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30-06-2025</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Bộ Tài chính</w:t>
            </w:r>
          </w:p>
        </w:tc>
      </w:tr>
      <w:tr w:rsidR="00ED2932">
        <w:tblPrEx>
          <w:tblCellMar>
            <w:top w:w="0" w:type="dxa"/>
            <w:bottom w:w="0" w:type="dxa"/>
          </w:tblCellMar>
        </w:tblPrEx>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53/2025/TT-BCA</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01-07-2025</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Bộ Công an</w:t>
            </w:r>
          </w:p>
        </w:tc>
      </w:tr>
      <w:tr w:rsidR="00ED2932">
        <w:tblPrEx>
          <w:tblCellMar>
            <w:top w:w="0" w:type="dxa"/>
            <w:bottom w:w="0" w:type="dxa"/>
          </w:tblCellMar>
        </w:tblPrEx>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73/2024/TT-BTC</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Thông tư số 73/2024/TT-BTC ngày 21/10/2024 của Bộ Tài chính quy định mức thu, miễn, chế độ thu, nộp lệ phí cấp đổi, cấp lại thẻ căn cước</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21-10-2024</w:t>
            </w:r>
          </w:p>
        </w:tc>
        <w:tc>
          <w:tcPr>
            <w:tcW w:w="0" w:type="auto"/>
          </w:tcPr>
          <w:p w:rsidR="00ED2932" w:rsidRDefault="00ED2932"/>
          <w:p w:rsidR="00ED2932" w:rsidRDefault="00985E15">
            <w:pPr>
              <w:spacing w:after="0" w:line="276" w:lineRule="auto"/>
            </w:pPr>
            <w:r>
              <w:rPr>
                <w:rFonts w:ascii="Times New Roman" w:eastAsia="Times New Roman" w:hAnsi="Times New Roman" w:cs="Times New Roman"/>
                <w:sz w:val="26"/>
              </w:rPr>
              <w:t>Bộ Tài chính</w:t>
            </w:r>
          </w:p>
        </w:tc>
      </w:tr>
    </w:tbl>
    <w:p w:rsidR="00ED2932" w:rsidRDefault="00985E1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ED2932" w:rsidRDefault="00985E1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ED2932" w:rsidRDefault="00985E1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https://thutuc.dichvucong.gov.vn/p/home/dvc-tthc-thu-tuc-hanh-chinh-chi-tiet.html?ma_thu_tuc=406709</w:t>
      </w:r>
    </w:p>
    <w:sectPr w:rsidR="00ED293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D2932"/>
    <w:rsid w:val="005015F9"/>
    <w:rsid w:val="00985E15"/>
    <w:rsid w:val="00ED2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46AAA1-AA14-494D-A1F9-5AC25A559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1298</Words>
  <Characters>7402</Characters>
  <Application>Microsoft Office Word</Application>
  <DocSecurity>0</DocSecurity>
  <Lines>61</Lines>
  <Paragraphs>17</Paragraphs>
  <ScaleCrop>false</ScaleCrop>
  <Company/>
  <LinksUpToDate>false</LinksUpToDate>
  <CharactersWithSpaces>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2025-11-24T09:29:00Z</dcterms:created>
  <dcterms:modified xsi:type="dcterms:W3CDTF">2025-11-24T09:29:00Z</dcterms:modified>
</cp:coreProperties>
</file>