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54ADA" w:rsidRDefault="00CD7A9E">
      <w:pPr>
        <w:spacing w:after="300" w:line="276" w:lineRule="auto"/>
        <w:jc w:val="center"/>
      </w:pPr>
      <w:r>
        <w:rPr>
          <w:rFonts w:ascii="Times New Roman" w:eastAsia="Times New Roman" w:hAnsi="Times New Roman" w:cs="Times New Roman"/>
          <w:b/>
          <w:sz w:val="26"/>
        </w:rPr>
        <w:t>Chi tiết thủ tục hành chính</w:t>
      </w:r>
    </w:p>
    <w:p w:rsidR="00054ADA" w:rsidRDefault="00CD7A9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3.000349</w:t>
      </w:r>
    </w:p>
    <w:p w:rsidR="00054ADA" w:rsidRDefault="00CD7A9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rsidR="00054ADA" w:rsidRDefault="00CD7A9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Đổi giấy phép lái xe quân sự do Bộ Quốc phòng cấp</w:t>
      </w:r>
    </w:p>
    <w:p w:rsidR="00054ADA" w:rsidRDefault="00CD7A9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054ADA" w:rsidRDefault="00CD7A9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054ADA" w:rsidRDefault="00CD7A9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Sát hạch, cấp giấy phép lái xe</w:t>
      </w:r>
    </w:p>
    <w:p w:rsidR="00054ADA" w:rsidRDefault="00CD7A9E">
      <w:pPr>
        <w:spacing w:after="0" w:line="276" w:lineRule="auto"/>
        <w:jc w:val="both"/>
      </w:pPr>
      <w:r>
        <w:rPr>
          <w:rFonts w:ascii="Times New Roman" w:eastAsia="Times New Roman" w:hAnsi="Times New Roman" w:cs="Times New Roman"/>
          <w:b/>
          <w:sz w:val="26"/>
        </w:rPr>
        <w:t xml:space="preserve">Trình tự thực hiện: </w:t>
      </w:r>
    </w:p>
    <w:p w:rsidR="00054ADA" w:rsidRDefault="00054ADA">
      <w:pPr>
        <w:shd w:val="clear" w:color="auto" w:fill="F2F6F9"/>
        <w:spacing w:before="120" w:after="0" w:line="276" w:lineRule="auto"/>
        <w:jc w:val="both"/>
      </w:pPr>
    </w:p>
    <w:p w:rsidR="00054ADA" w:rsidRDefault="00CD7A9E">
      <w:pPr>
        <w:spacing w:after="0" w:line="276" w:lineRule="auto"/>
        <w:jc w:val="both"/>
      </w:pPr>
      <w:r>
        <w:rPr>
          <w:rFonts w:ascii="Times New Roman" w:eastAsia="Times New Roman" w:hAnsi="Times New Roman" w:cs="Times New Roman"/>
          <w:sz w:val="26"/>
        </w:rPr>
        <w:t>a) Nộp hồ sơ TTHC:  - Cá nhân lập hồ sơ gửi trực tiếp tại Phòng Cảnh sát giao thông hoặc Công an xã, phường, thị trấn nơi được bố trí điểm tiếp nhận hồ sơ; - Cá nhân chụp ảnh trực tiếp tại cơ quan tiếp nhận hồ sơ, xuất trình bản chính giấy tờ chứng minh thôi không còn phục vụ trong lực lượng Quân đội nhân dân để đối chiếu và phải hoàn thành nghĩa vụ nộp lệ phí khi được tiếp nhận hồ sơ. b) Giải quyết TTHC:  * Phòng Cảnh sát giao thông hoặc Công an cấp xã nơi bố trí điểm tiếp nhận kiểm tra hồ sơ khi tiếp nhận</w:t>
      </w:r>
      <w:r>
        <w:rPr>
          <w:rFonts w:ascii="Times New Roman" w:eastAsia="Times New Roman" w:hAnsi="Times New Roman" w:cs="Times New Roman"/>
          <w:sz w:val="26"/>
        </w:rPr>
        <w:t>, trường hợp phát hiện có nghi vấn, Phòng Cảnh sát giao thông có văn bản đề nghị đơn vị chức năng thuộc Bộ Quốc phòng xác minh giấy phép lái xe đã cấp theo mẫu số 01 Phụ lục XII ban hành kèm theo Thông tư này. Khi chưa có kết quả xác minh giấy phép lái xe hoặc có kết quả xác minh giấy phép lái xe không do Bộ Quốc phòng cấp thì không đổi giấy phép lái xe, đồng thời phải tra cứu phần mềm cơ sở dữ liệu về trật tự, an toàn giao thông đường bộ hoặc tra cứu vi phạm của người lái xe thông qua tài khoản định danh đ</w:t>
      </w:r>
      <w:r>
        <w:rPr>
          <w:rFonts w:ascii="Times New Roman" w:eastAsia="Times New Roman" w:hAnsi="Times New Roman" w:cs="Times New Roman"/>
          <w:sz w:val="26"/>
        </w:rPr>
        <w:t>iện tử.  Trường hợp giấy phép lái xe không thuộc đối tượng được đổi hoặc hồ sơ không đúng theo quy định, phải thông báo trực tiếp hoặc bằng văn bản những nội dung cần bổ sung hoặc sửa đổi cho cá nhân trong thời hạn 02 ngày làm việc, kể từ ngày nhận hồ sơ.  Phòng Cảnh sát giao thông hoặc Công an cấp xã nơi bố trí điểm tiếp nhận nhập thông tin điện tử, in phiếu hẹn trả kết quả sau 05 ngày làm việc kể từ ngày nhận đủ hồ sơ hợp lệ;  * Trong thời hạn 01 ngày làm việc, kể từ ngày nhận đủ hồ sơ hợp lệ theo quy địn</w:t>
      </w:r>
      <w:r>
        <w:rPr>
          <w:rFonts w:ascii="Times New Roman" w:eastAsia="Times New Roman" w:hAnsi="Times New Roman" w:cs="Times New Roman"/>
          <w:sz w:val="26"/>
        </w:rPr>
        <w:t>h (bao gồm xác thực tài khoản định danh điện tử qua hệ thống định danh và xác thực điện tử, có kết quả xác minh giấy phép lái xe đối với trường hợp phát hiện nghi vấn), Phòng Cảnh sát giao thông chuyển dữ liệu đến Cục Cảnh sát giao thông để quản lý tập trung và cấp giấy phép lái xe. Phòng Cảnh sát giao thông tổ chức in và trả giấy phép lái xe; - Việc trả giấy phép lái xe được thực hiện tại cơ quan tiếp nhận hồ sơ hoặc thông qua dịch vụ bưu chính theo yêu cầu của cá nhân.  * Phòng Cảnh sát giao thông lưu bản</w:t>
      </w:r>
      <w:r>
        <w:rPr>
          <w:rFonts w:ascii="Times New Roman" w:eastAsia="Times New Roman" w:hAnsi="Times New Roman" w:cs="Times New Roman"/>
          <w:sz w:val="26"/>
        </w:rPr>
        <w:t xml:space="preserve"> sao hồ sơ đổi giấy phép lái xe quân sự do Bộ Quốc phòng cấp trong thời hạn 02 năm, kể từ ngày cấp giấy phép lái xe và tiêu hủy giấy phép lái xe cũ. Trường hợp cá nhân nộp hồ sơ trực tiếp tại Công an cấp xã nơi được bố trí điểm tiếp nhận, hồ sơ đổi giấy phép lái xe được chuyển đến Phòng Cảnh sát giao thông để lưu trữ sau khi trả giấy phép lái xe và tiêu hủy giấy phép lái xe cũ.</w:t>
      </w:r>
    </w:p>
    <w:p w:rsidR="00054ADA" w:rsidRDefault="00CD7A9E">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28"/>
        <w:gridCol w:w="1003"/>
        <w:gridCol w:w="2777"/>
        <w:gridCol w:w="4803"/>
      </w:tblGrid>
      <w:tr w:rsidR="00054ADA">
        <w:tblPrEx>
          <w:tblCellMar>
            <w:top w:w="0" w:type="dxa"/>
            <w:bottom w:w="0" w:type="dxa"/>
          </w:tblCellMar>
        </w:tblPrEx>
        <w:tc>
          <w:tcPr>
            <w:tcW w:w="1500" w:type="dxa"/>
          </w:tcPr>
          <w:p w:rsidR="00054ADA" w:rsidRDefault="00054ADA"/>
          <w:p w:rsidR="00054ADA" w:rsidRDefault="00CD7A9E">
            <w:pPr>
              <w:spacing w:after="0" w:line="276" w:lineRule="auto"/>
              <w:jc w:val="center"/>
            </w:pPr>
            <w:r>
              <w:rPr>
                <w:rFonts w:ascii="Times New Roman" w:eastAsia="Times New Roman" w:hAnsi="Times New Roman" w:cs="Times New Roman"/>
                <w:b/>
                <w:sz w:val="26"/>
              </w:rPr>
              <w:t>Hình thức nộp</w:t>
            </w:r>
          </w:p>
        </w:tc>
        <w:tc>
          <w:tcPr>
            <w:tcW w:w="2000" w:type="dxa"/>
          </w:tcPr>
          <w:p w:rsidR="00054ADA" w:rsidRDefault="00054ADA"/>
          <w:p w:rsidR="00054ADA" w:rsidRDefault="00CD7A9E">
            <w:pPr>
              <w:spacing w:after="0" w:line="276" w:lineRule="auto"/>
              <w:jc w:val="center"/>
            </w:pPr>
            <w:r>
              <w:rPr>
                <w:rFonts w:ascii="Times New Roman" w:eastAsia="Times New Roman" w:hAnsi="Times New Roman" w:cs="Times New Roman"/>
                <w:b/>
                <w:sz w:val="26"/>
              </w:rPr>
              <w:t>Thời hạn giải quyết</w:t>
            </w:r>
          </w:p>
        </w:tc>
        <w:tc>
          <w:tcPr>
            <w:tcW w:w="3500" w:type="dxa"/>
          </w:tcPr>
          <w:p w:rsidR="00054ADA" w:rsidRDefault="00054ADA"/>
          <w:p w:rsidR="00054ADA" w:rsidRDefault="00CD7A9E">
            <w:pPr>
              <w:spacing w:after="0" w:line="276" w:lineRule="auto"/>
              <w:jc w:val="center"/>
            </w:pPr>
            <w:r>
              <w:rPr>
                <w:rFonts w:ascii="Times New Roman" w:eastAsia="Times New Roman" w:hAnsi="Times New Roman" w:cs="Times New Roman"/>
                <w:b/>
                <w:sz w:val="26"/>
              </w:rPr>
              <w:t>Phí, lệ phí</w:t>
            </w:r>
          </w:p>
        </w:tc>
        <w:tc>
          <w:tcPr>
            <w:tcW w:w="3000" w:type="dxa"/>
          </w:tcPr>
          <w:p w:rsidR="00054ADA" w:rsidRDefault="00054ADA"/>
          <w:p w:rsidR="00054ADA" w:rsidRDefault="00CD7A9E">
            <w:pPr>
              <w:spacing w:after="0" w:line="276" w:lineRule="auto"/>
              <w:jc w:val="center"/>
            </w:pPr>
            <w:r>
              <w:rPr>
                <w:rFonts w:ascii="Times New Roman" w:eastAsia="Times New Roman" w:hAnsi="Times New Roman" w:cs="Times New Roman"/>
                <w:b/>
                <w:sz w:val="26"/>
              </w:rPr>
              <w:t>Mô tả</w:t>
            </w:r>
          </w:p>
        </w:tc>
      </w:tr>
      <w:tr w:rsidR="00054ADA">
        <w:tblPrEx>
          <w:tblCellMar>
            <w:top w:w="0" w:type="dxa"/>
            <w:bottom w:w="0" w:type="dxa"/>
          </w:tblCellMar>
        </w:tblPrEx>
        <w:tc>
          <w:tcPr>
            <w:tcW w:w="0" w:type="auto"/>
          </w:tcPr>
          <w:p w:rsidR="00054ADA" w:rsidRDefault="00054ADA"/>
          <w:p w:rsidR="00054ADA" w:rsidRDefault="00CD7A9E">
            <w:pPr>
              <w:spacing w:after="0" w:line="276" w:lineRule="auto"/>
            </w:pPr>
            <w:r>
              <w:rPr>
                <w:rFonts w:ascii="Times New Roman" w:eastAsia="Times New Roman" w:hAnsi="Times New Roman" w:cs="Times New Roman"/>
                <w:sz w:val="26"/>
              </w:rPr>
              <w:t>Trực tiếp</w:t>
            </w:r>
          </w:p>
        </w:tc>
        <w:tc>
          <w:tcPr>
            <w:tcW w:w="0" w:type="auto"/>
          </w:tcPr>
          <w:p w:rsidR="00054ADA" w:rsidRDefault="00054ADA"/>
          <w:p w:rsidR="00054ADA" w:rsidRDefault="00CD7A9E">
            <w:pPr>
              <w:spacing w:after="0" w:line="276" w:lineRule="auto"/>
            </w:pPr>
            <w:r>
              <w:rPr>
                <w:rFonts w:ascii="Times New Roman" w:eastAsia="Times New Roman" w:hAnsi="Times New Roman" w:cs="Times New Roman"/>
                <w:sz w:val="26"/>
              </w:rPr>
              <w:t>05 Ngày làm việc</w:t>
            </w:r>
          </w:p>
        </w:tc>
        <w:tc>
          <w:tcPr>
            <w:tcW w:w="0" w:type="auto"/>
          </w:tcPr>
          <w:p w:rsidR="00054ADA" w:rsidRDefault="00054ADA"/>
          <w:p w:rsidR="00054ADA" w:rsidRDefault="00CD7A9E">
            <w:pPr>
              <w:spacing w:after="0" w:line="276" w:lineRule="auto"/>
            </w:pPr>
            <w:r>
              <w:rPr>
                <w:rFonts w:ascii="Times New Roman" w:eastAsia="Times New Roman" w:hAnsi="Times New Roman" w:cs="Times New Roman"/>
                <w:sz w:val="26"/>
              </w:rPr>
              <w:t>Lệ phí : 135.000 Đồng (Lệ phí cấp giấy phép lái xe: 135.000 đồng/lần.)</w:t>
            </w:r>
          </w:p>
        </w:tc>
        <w:tc>
          <w:tcPr>
            <w:tcW w:w="0" w:type="auto"/>
          </w:tcPr>
          <w:p w:rsidR="00054ADA" w:rsidRDefault="00054ADA"/>
          <w:p w:rsidR="00054ADA" w:rsidRDefault="00CD7A9E">
            <w:pPr>
              <w:spacing w:after="0" w:line="276" w:lineRule="auto"/>
            </w:pPr>
            <w:r>
              <w:rPr>
                <w:rFonts w:ascii="Times New Roman" w:eastAsia="Times New Roman" w:hAnsi="Times New Roman" w:cs="Times New Roman"/>
                <w:sz w:val="26"/>
              </w:rPr>
              <w:t>05 ngày làm việc, kể từ ngày nhận đủ hồ sơ đúng theo quy định (bao gồm xác thực tài khoản định danh điện tử qua hệ thống định danh và xác thực điện tử).</w:t>
            </w:r>
          </w:p>
        </w:tc>
      </w:tr>
    </w:tbl>
    <w:p w:rsidR="00054ADA" w:rsidRDefault="00CD7A9E">
      <w:pPr>
        <w:spacing w:before="240" w:after="0" w:line="276" w:lineRule="auto"/>
        <w:jc w:val="both"/>
      </w:pPr>
      <w:r>
        <w:rPr>
          <w:rFonts w:ascii="Times New Roman" w:eastAsia="Times New Roman" w:hAnsi="Times New Roman" w:cs="Times New Roman"/>
          <w:b/>
          <w:sz w:val="26"/>
        </w:rPr>
        <w:t xml:space="preserve">Thành phần hồ sơ: </w:t>
      </w:r>
    </w:p>
    <w:p w:rsidR="00054ADA" w:rsidRDefault="00CD7A9E">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070"/>
        <w:gridCol w:w="2404"/>
        <w:gridCol w:w="937"/>
      </w:tblGrid>
      <w:tr w:rsidR="00054ADA">
        <w:tblPrEx>
          <w:tblCellMar>
            <w:top w:w="0" w:type="dxa"/>
            <w:bottom w:w="0" w:type="dxa"/>
          </w:tblCellMar>
        </w:tblPrEx>
        <w:tc>
          <w:tcPr>
            <w:tcW w:w="6000" w:type="dxa"/>
          </w:tcPr>
          <w:p w:rsidR="00054ADA" w:rsidRDefault="00054ADA"/>
          <w:p w:rsidR="00054ADA" w:rsidRDefault="00CD7A9E">
            <w:pPr>
              <w:spacing w:after="0" w:line="276" w:lineRule="auto"/>
              <w:jc w:val="center"/>
            </w:pPr>
            <w:r>
              <w:rPr>
                <w:rFonts w:ascii="Times New Roman" w:eastAsia="Times New Roman" w:hAnsi="Times New Roman" w:cs="Times New Roman"/>
                <w:b/>
                <w:sz w:val="26"/>
              </w:rPr>
              <w:t>Tên giấy tờ</w:t>
            </w:r>
          </w:p>
        </w:tc>
        <w:tc>
          <w:tcPr>
            <w:tcW w:w="2000" w:type="dxa"/>
          </w:tcPr>
          <w:p w:rsidR="00054ADA" w:rsidRDefault="00054ADA"/>
          <w:p w:rsidR="00054ADA" w:rsidRDefault="00CD7A9E">
            <w:pPr>
              <w:spacing w:after="0" w:line="276" w:lineRule="auto"/>
              <w:jc w:val="center"/>
            </w:pPr>
            <w:r>
              <w:rPr>
                <w:rFonts w:ascii="Times New Roman" w:eastAsia="Times New Roman" w:hAnsi="Times New Roman" w:cs="Times New Roman"/>
                <w:b/>
                <w:sz w:val="26"/>
              </w:rPr>
              <w:t>Mẫu đơn, tờ khai</w:t>
            </w:r>
          </w:p>
        </w:tc>
        <w:tc>
          <w:tcPr>
            <w:tcW w:w="2000" w:type="dxa"/>
          </w:tcPr>
          <w:p w:rsidR="00054ADA" w:rsidRDefault="00054ADA"/>
          <w:p w:rsidR="00054ADA" w:rsidRDefault="00CD7A9E">
            <w:pPr>
              <w:spacing w:after="0" w:line="276" w:lineRule="auto"/>
              <w:jc w:val="center"/>
            </w:pPr>
            <w:r>
              <w:rPr>
                <w:rFonts w:ascii="Times New Roman" w:eastAsia="Times New Roman" w:hAnsi="Times New Roman" w:cs="Times New Roman"/>
                <w:b/>
                <w:sz w:val="26"/>
              </w:rPr>
              <w:t>Số lượng</w:t>
            </w:r>
          </w:p>
        </w:tc>
      </w:tr>
      <w:tr w:rsidR="00054ADA">
        <w:tblPrEx>
          <w:tblCellMar>
            <w:top w:w="0" w:type="dxa"/>
            <w:bottom w:w="0" w:type="dxa"/>
          </w:tblCellMar>
        </w:tblPrEx>
        <w:tc>
          <w:tcPr>
            <w:tcW w:w="0" w:type="auto"/>
          </w:tcPr>
          <w:p w:rsidR="00054ADA" w:rsidRDefault="00054ADA"/>
          <w:p w:rsidR="00054ADA" w:rsidRDefault="00CD7A9E">
            <w:pPr>
              <w:spacing w:after="0" w:line="276" w:lineRule="auto"/>
            </w:pPr>
            <w:r>
              <w:rPr>
                <w:rFonts w:ascii="Times New Roman" w:eastAsia="Times New Roman" w:hAnsi="Times New Roman" w:cs="Times New Roman"/>
                <w:sz w:val="26"/>
              </w:rPr>
              <w:t>Đề nghị đổi giấy phép lái xe theo mẫu quy định tại Phụ lục XII ban hành kèm theo Thông tư số 12/2025/TT-BCA ngày 28/02/2025 của Bộ trưởng Bộ Công an quy định về sát hạch, cấp giấy phép lái xe; cấp, sử dụng giấy phép lái xe quốc tế;</w:t>
            </w:r>
          </w:p>
        </w:tc>
        <w:tc>
          <w:tcPr>
            <w:tcW w:w="0" w:type="auto"/>
          </w:tcPr>
          <w:p w:rsidR="00054ADA" w:rsidRDefault="00054ADA"/>
          <w:p w:rsidR="00054ADA" w:rsidRDefault="00CD7A9E">
            <w:pPr>
              <w:spacing w:after="0" w:line="276" w:lineRule="auto"/>
            </w:pPr>
            <w:r>
              <w:rPr>
                <w:rFonts w:ascii="Times New Roman" w:eastAsia="Times New Roman" w:hAnsi="Times New Roman" w:cs="Times New Roman"/>
                <w:sz w:val="26"/>
              </w:rPr>
              <w:t>PhulucXII.doigplx.doc</w:t>
            </w:r>
          </w:p>
        </w:tc>
        <w:tc>
          <w:tcPr>
            <w:tcW w:w="0" w:type="auto"/>
          </w:tcPr>
          <w:p w:rsidR="00054ADA" w:rsidRDefault="00054ADA"/>
          <w:p w:rsidR="00054ADA" w:rsidRDefault="00CD7A9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54ADA">
        <w:tblPrEx>
          <w:tblCellMar>
            <w:top w:w="0" w:type="dxa"/>
            <w:bottom w:w="0" w:type="dxa"/>
          </w:tblCellMar>
        </w:tblPrEx>
        <w:tc>
          <w:tcPr>
            <w:tcW w:w="0" w:type="auto"/>
          </w:tcPr>
          <w:p w:rsidR="00054ADA" w:rsidRDefault="00054ADA"/>
          <w:p w:rsidR="00054ADA" w:rsidRDefault="00CD7A9E">
            <w:pPr>
              <w:spacing w:after="0" w:line="276" w:lineRule="auto"/>
            </w:pPr>
            <w:r>
              <w:rPr>
                <w:rFonts w:ascii="Times New Roman" w:eastAsia="Times New Roman" w:hAnsi="Times New Roman" w:cs="Times New Roman"/>
                <w:sz w:val="26"/>
              </w:rPr>
              <w:t>Bản sao giấy tờ chứng minh thôi không còn phục vụ trong lực lượng Quân đội nhân dân</w:t>
            </w:r>
          </w:p>
        </w:tc>
        <w:tc>
          <w:tcPr>
            <w:tcW w:w="0" w:type="auto"/>
          </w:tcPr>
          <w:p w:rsidR="00054ADA" w:rsidRDefault="00054ADA"/>
        </w:tc>
        <w:tc>
          <w:tcPr>
            <w:tcW w:w="0" w:type="auto"/>
          </w:tcPr>
          <w:p w:rsidR="00054ADA" w:rsidRDefault="00054ADA"/>
          <w:p w:rsidR="00054ADA" w:rsidRDefault="00CD7A9E">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054ADA">
        <w:tblPrEx>
          <w:tblCellMar>
            <w:top w:w="0" w:type="dxa"/>
            <w:bottom w:w="0" w:type="dxa"/>
          </w:tblCellMar>
        </w:tblPrEx>
        <w:tc>
          <w:tcPr>
            <w:tcW w:w="0" w:type="auto"/>
          </w:tcPr>
          <w:p w:rsidR="00054ADA" w:rsidRDefault="00054ADA"/>
          <w:p w:rsidR="00054ADA" w:rsidRDefault="00CD7A9E">
            <w:pPr>
              <w:spacing w:after="0" w:line="276" w:lineRule="auto"/>
            </w:pPr>
            <w:r>
              <w:rPr>
                <w:rFonts w:ascii="Times New Roman" w:eastAsia="Times New Roman" w:hAnsi="Times New Roman" w:cs="Times New Roman"/>
                <w:sz w:val="26"/>
              </w:rPr>
              <w:t>Giấy khám sức khỏe của người lái xe do cơ sở khám bệnh, chữa bệnh đủ tiêu chuẩn theo quy định của pháp luật về khám bệnh, chữa bệnh cấp còn hiệu lực</w:t>
            </w:r>
          </w:p>
        </w:tc>
        <w:tc>
          <w:tcPr>
            <w:tcW w:w="0" w:type="auto"/>
          </w:tcPr>
          <w:p w:rsidR="00054ADA" w:rsidRDefault="00054ADA"/>
        </w:tc>
        <w:tc>
          <w:tcPr>
            <w:tcW w:w="0" w:type="auto"/>
          </w:tcPr>
          <w:p w:rsidR="00054ADA" w:rsidRDefault="00054ADA"/>
          <w:p w:rsidR="00054ADA" w:rsidRDefault="00CD7A9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54ADA">
        <w:tblPrEx>
          <w:tblCellMar>
            <w:top w:w="0" w:type="dxa"/>
            <w:bottom w:w="0" w:type="dxa"/>
          </w:tblCellMar>
        </w:tblPrEx>
        <w:tc>
          <w:tcPr>
            <w:tcW w:w="0" w:type="auto"/>
          </w:tcPr>
          <w:p w:rsidR="00054ADA" w:rsidRDefault="00054ADA"/>
          <w:p w:rsidR="00054ADA" w:rsidRDefault="00CD7A9E">
            <w:pPr>
              <w:spacing w:after="0" w:line="276" w:lineRule="auto"/>
            </w:pPr>
            <w:r>
              <w:rPr>
                <w:rFonts w:ascii="Times New Roman" w:eastAsia="Times New Roman" w:hAnsi="Times New Roman" w:cs="Times New Roman"/>
                <w:sz w:val="26"/>
              </w:rPr>
              <w:t>Bản sao hoặc bản sao điện tử được chứng thực từ bản chính hoặc bản sao điện tử được cấp từ sổ gốc của giấy phép lái xe quân sự còn thời hạn sử dụng</w:t>
            </w:r>
          </w:p>
        </w:tc>
        <w:tc>
          <w:tcPr>
            <w:tcW w:w="0" w:type="auto"/>
          </w:tcPr>
          <w:p w:rsidR="00054ADA" w:rsidRDefault="00054ADA"/>
        </w:tc>
        <w:tc>
          <w:tcPr>
            <w:tcW w:w="0" w:type="auto"/>
          </w:tcPr>
          <w:p w:rsidR="00054ADA" w:rsidRDefault="00054ADA"/>
          <w:p w:rsidR="00054ADA" w:rsidRDefault="00CD7A9E">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 xml:space="preserve">Bản sao: </w:t>
            </w:r>
            <w:r>
              <w:rPr>
                <w:rFonts w:ascii="Times New Roman" w:eastAsia="Times New Roman" w:hAnsi="Times New Roman" w:cs="Times New Roman"/>
                <w:sz w:val="26"/>
              </w:rPr>
              <w:lastRenderedPageBreak/>
              <w:t>1</w:t>
            </w:r>
          </w:p>
        </w:tc>
      </w:tr>
    </w:tbl>
    <w:p w:rsidR="00054ADA" w:rsidRDefault="00CD7A9E">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w:t>
      </w:r>
    </w:p>
    <w:p w:rsidR="00054ADA" w:rsidRDefault="00CD7A9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 Công an tỉnh, Cục Cảnh sát giao thông</w:t>
      </w:r>
    </w:p>
    <w:p w:rsidR="00054ADA" w:rsidRDefault="00CD7A9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giao thông</w:t>
      </w:r>
    </w:p>
    <w:p w:rsidR="00054ADA" w:rsidRDefault="00CD7A9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054ADA" w:rsidRDefault="00CD7A9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054ADA" w:rsidRDefault="00CD7A9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054ADA" w:rsidRDefault="00CD7A9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lái xe</w:t>
      </w:r>
    </w:p>
    <w:p w:rsidR="00054ADA" w:rsidRDefault="00CD7A9E">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485"/>
        <w:gridCol w:w="5964"/>
        <w:gridCol w:w="811"/>
        <w:gridCol w:w="1165"/>
      </w:tblGrid>
      <w:tr w:rsidR="00054ADA">
        <w:tblPrEx>
          <w:tblCellMar>
            <w:top w:w="0" w:type="dxa"/>
            <w:bottom w:w="0" w:type="dxa"/>
          </w:tblCellMar>
        </w:tblPrEx>
        <w:tc>
          <w:tcPr>
            <w:tcW w:w="2000" w:type="dxa"/>
          </w:tcPr>
          <w:p w:rsidR="00054ADA" w:rsidRDefault="00054ADA"/>
          <w:p w:rsidR="00054ADA" w:rsidRDefault="00CD7A9E">
            <w:pPr>
              <w:spacing w:after="0" w:line="276" w:lineRule="auto"/>
              <w:jc w:val="center"/>
            </w:pPr>
            <w:r>
              <w:rPr>
                <w:rFonts w:ascii="Times New Roman" w:eastAsia="Times New Roman" w:hAnsi="Times New Roman" w:cs="Times New Roman"/>
                <w:b/>
                <w:sz w:val="26"/>
              </w:rPr>
              <w:t>Số ký hiệu</w:t>
            </w:r>
          </w:p>
        </w:tc>
        <w:tc>
          <w:tcPr>
            <w:tcW w:w="3500" w:type="dxa"/>
          </w:tcPr>
          <w:p w:rsidR="00054ADA" w:rsidRDefault="00054ADA"/>
          <w:p w:rsidR="00054ADA" w:rsidRDefault="00CD7A9E">
            <w:pPr>
              <w:spacing w:after="0" w:line="276" w:lineRule="auto"/>
              <w:jc w:val="center"/>
            </w:pPr>
            <w:r>
              <w:rPr>
                <w:rFonts w:ascii="Times New Roman" w:eastAsia="Times New Roman" w:hAnsi="Times New Roman" w:cs="Times New Roman"/>
                <w:b/>
                <w:sz w:val="26"/>
              </w:rPr>
              <w:t>Trích yếu</w:t>
            </w:r>
          </w:p>
        </w:tc>
        <w:tc>
          <w:tcPr>
            <w:tcW w:w="1500" w:type="dxa"/>
          </w:tcPr>
          <w:p w:rsidR="00054ADA" w:rsidRDefault="00054ADA"/>
          <w:p w:rsidR="00054ADA" w:rsidRDefault="00CD7A9E">
            <w:pPr>
              <w:spacing w:after="0" w:line="276" w:lineRule="auto"/>
              <w:jc w:val="center"/>
            </w:pPr>
            <w:r>
              <w:rPr>
                <w:rFonts w:ascii="Times New Roman" w:eastAsia="Times New Roman" w:hAnsi="Times New Roman" w:cs="Times New Roman"/>
                <w:b/>
                <w:sz w:val="26"/>
              </w:rPr>
              <w:t>Ngày ban hành</w:t>
            </w:r>
          </w:p>
        </w:tc>
        <w:tc>
          <w:tcPr>
            <w:tcW w:w="3000" w:type="dxa"/>
          </w:tcPr>
          <w:p w:rsidR="00054ADA" w:rsidRDefault="00054ADA"/>
          <w:p w:rsidR="00054ADA" w:rsidRDefault="00CD7A9E">
            <w:pPr>
              <w:spacing w:after="0" w:line="276" w:lineRule="auto"/>
              <w:jc w:val="center"/>
            </w:pPr>
            <w:r>
              <w:rPr>
                <w:rFonts w:ascii="Times New Roman" w:eastAsia="Times New Roman" w:hAnsi="Times New Roman" w:cs="Times New Roman"/>
                <w:b/>
                <w:sz w:val="26"/>
              </w:rPr>
              <w:t>Cơ quan ban hành</w:t>
            </w:r>
          </w:p>
        </w:tc>
      </w:tr>
      <w:tr w:rsidR="00054ADA">
        <w:tblPrEx>
          <w:tblCellMar>
            <w:top w:w="0" w:type="dxa"/>
            <w:bottom w:w="0" w:type="dxa"/>
          </w:tblCellMar>
        </w:tblPrEx>
        <w:tc>
          <w:tcPr>
            <w:tcW w:w="0" w:type="auto"/>
          </w:tcPr>
          <w:p w:rsidR="00054ADA" w:rsidRDefault="00054ADA"/>
          <w:p w:rsidR="00054ADA" w:rsidRDefault="00CD7A9E">
            <w:pPr>
              <w:spacing w:after="0" w:line="276" w:lineRule="auto"/>
            </w:pPr>
            <w:r>
              <w:rPr>
                <w:rFonts w:ascii="Times New Roman" w:eastAsia="Times New Roman" w:hAnsi="Times New Roman" w:cs="Times New Roman"/>
                <w:sz w:val="26"/>
              </w:rPr>
              <w:t>37/2023/TT-BTC</w:t>
            </w:r>
          </w:p>
        </w:tc>
        <w:tc>
          <w:tcPr>
            <w:tcW w:w="0" w:type="auto"/>
          </w:tcPr>
          <w:p w:rsidR="00054ADA" w:rsidRDefault="00054ADA"/>
          <w:p w:rsidR="00054ADA" w:rsidRDefault="00CD7A9E">
            <w:pPr>
              <w:spacing w:after="0" w:line="276" w:lineRule="auto"/>
            </w:pPr>
            <w:r>
              <w:rPr>
                <w:rFonts w:ascii="Times New Roman" w:eastAsia="Times New Roman" w:hAnsi="Times New Roman" w:cs="Times New Roman"/>
                <w:sz w:val="26"/>
              </w:rPr>
              <w:t>Thông tư quy định mức thu, chế độ thu, nộp, quản lý và sử dụng phí sát hạch lái xe; lệ phí cấp bằng, chứng chỉ được hoạt động trên các loại phương tiện và lệ phí đăng ký, cấp biển xe máy chuyên dùng</w:t>
            </w:r>
          </w:p>
        </w:tc>
        <w:tc>
          <w:tcPr>
            <w:tcW w:w="0" w:type="auto"/>
          </w:tcPr>
          <w:p w:rsidR="00054ADA" w:rsidRDefault="00054ADA"/>
          <w:p w:rsidR="00054ADA" w:rsidRDefault="00CD7A9E">
            <w:pPr>
              <w:spacing w:after="0" w:line="276" w:lineRule="auto"/>
            </w:pPr>
            <w:r>
              <w:rPr>
                <w:rFonts w:ascii="Times New Roman" w:eastAsia="Times New Roman" w:hAnsi="Times New Roman" w:cs="Times New Roman"/>
                <w:sz w:val="26"/>
              </w:rPr>
              <w:t>07-06-2023</w:t>
            </w:r>
          </w:p>
        </w:tc>
        <w:tc>
          <w:tcPr>
            <w:tcW w:w="0" w:type="auto"/>
          </w:tcPr>
          <w:p w:rsidR="00054ADA" w:rsidRDefault="00054ADA"/>
          <w:p w:rsidR="00054ADA" w:rsidRDefault="00CD7A9E">
            <w:pPr>
              <w:spacing w:after="0" w:line="276" w:lineRule="auto"/>
            </w:pPr>
            <w:r>
              <w:rPr>
                <w:rFonts w:ascii="Times New Roman" w:eastAsia="Times New Roman" w:hAnsi="Times New Roman" w:cs="Times New Roman"/>
                <w:sz w:val="26"/>
              </w:rPr>
              <w:t>Bộ Tài chính</w:t>
            </w:r>
          </w:p>
        </w:tc>
      </w:tr>
      <w:tr w:rsidR="00054ADA">
        <w:tblPrEx>
          <w:tblCellMar>
            <w:top w:w="0" w:type="dxa"/>
            <w:bottom w:w="0" w:type="dxa"/>
          </w:tblCellMar>
        </w:tblPrEx>
        <w:tc>
          <w:tcPr>
            <w:tcW w:w="0" w:type="auto"/>
          </w:tcPr>
          <w:p w:rsidR="00054ADA" w:rsidRDefault="00054ADA"/>
          <w:p w:rsidR="00054ADA" w:rsidRDefault="00CD7A9E">
            <w:pPr>
              <w:spacing w:after="0" w:line="276" w:lineRule="auto"/>
            </w:pPr>
            <w:r>
              <w:rPr>
                <w:rFonts w:ascii="Times New Roman" w:eastAsia="Times New Roman" w:hAnsi="Times New Roman" w:cs="Times New Roman"/>
                <w:sz w:val="26"/>
              </w:rPr>
              <w:t>12/2025/TT-BCA</w:t>
            </w:r>
          </w:p>
        </w:tc>
        <w:tc>
          <w:tcPr>
            <w:tcW w:w="0" w:type="auto"/>
          </w:tcPr>
          <w:p w:rsidR="00054ADA" w:rsidRDefault="00054ADA"/>
          <w:p w:rsidR="00054ADA" w:rsidRDefault="00CD7A9E">
            <w:pPr>
              <w:spacing w:after="0" w:line="276" w:lineRule="auto"/>
            </w:pPr>
            <w:r>
              <w:rPr>
                <w:rFonts w:ascii="Times New Roman" w:eastAsia="Times New Roman" w:hAnsi="Times New Roman" w:cs="Times New Roman"/>
                <w:sz w:val="26"/>
              </w:rPr>
              <w:t>Thông tư số 12/2025/TT-BCA ngày 28/02/2025 của Bộ trưởng Bộ Công an quy định về sát hạch, cấp giấy phép lái xe; cấp, sử dụng giấy phép lái xe quốc tế</w:t>
            </w:r>
          </w:p>
        </w:tc>
        <w:tc>
          <w:tcPr>
            <w:tcW w:w="0" w:type="auto"/>
          </w:tcPr>
          <w:p w:rsidR="00054ADA" w:rsidRDefault="00054ADA"/>
          <w:p w:rsidR="00054ADA" w:rsidRDefault="00CD7A9E">
            <w:pPr>
              <w:spacing w:after="0" w:line="276" w:lineRule="auto"/>
            </w:pPr>
            <w:r>
              <w:rPr>
                <w:rFonts w:ascii="Times New Roman" w:eastAsia="Times New Roman" w:hAnsi="Times New Roman" w:cs="Times New Roman"/>
                <w:sz w:val="26"/>
              </w:rPr>
              <w:t>28-02-2024</w:t>
            </w:r>
          </w:p>
        </w:tc>
        <w:tc>
          <w:tcPr>
            <w:tcW w:w="0" w:type="auto"/>
          </w:tcPr>
          <w:p w:rsidR="00054ADA" w:rsidRDefault="00054ADA"/>
          <w:p w:rsidR="00054ADA" w:rsidRDefault="00CD7A9E">
            <w:pPr>
              <w:spacing w:after="0" w:line="276" w:lineRule="auto"/>
            </w:pPr>
            <w:r>
              <w:rPr>
                <w:rFonts w:ascii="Times New Roman" w:eastAsia="Times New Roman" w:hAnsi="Times New Roman" w:cs="Times New Roman"/>
                <w:sz w:val="26"/>
              </w:rPr>
              <w:t>Bộ Công an</w:t>
            </w:r>
          </w:p>
        </w:tc>
      </w:tr>
      <w:tr w:rsidR="00054ADA">
        <w:tblPrEx>
          <w:tblCellMar>
            <w:top w:w="0" w:type="dxa"/>
            <w:bottom w:w="0" w:type="dxa"/>
          </w:tblCellMar>
        </w:tblPrEx>
        <w:tc>
          <w:tcPr>
            <w:tcW w:w="0" w:type="auto"/>
          </w:tcPr>
          <w:p w:rsidR="00054ADA" w:rsidRDefault="00054ADA"/>
          <w:p w:rsidR="00054ADA" w:rsidRDefault="00CD7A9E">
            <w:pPr>
              <w:spacing w:after="0" w:line="276" w:lineRule="auto"/>
            </w:pPr>
            <w:r>
              <w:rPr>
                <w:rFonts w:ascii="Times New Roman" w:eastAsia="Times New Roman" w:hAnsi="Times New Roman" w:cs="Times New Roman"/>
                <w:sz w:val="26"/>
              </w:rPr>
              <w:t>06/2025/TT-BTC</w:t>
            </w:r>
          </w:p>
        </w:tc>
        <w:tc>
          <w:tcPr>
            <w:tcW w:w="0" w:type="auto"/>
          </w:tcPr>
          <w:p w:rsidR="00054ADA" w:rsidRDefault="00054ADA"/>
          <w:p w:rsidR="00054ADA" w:rsidRDefault="00CD7A9E">
            <w:pPr>
              <w:spacing w:after="0" w:line="276" w:lineRule="auto"/>
            </w:pPr>
            <w:r>
              <w:rPr>
                <w:rFonts w:ascii="Times New Roman" w:eastAsia="Times New Roman" w:hAnsi="Times New Roman" w:cs="Times New Roman"/>
                <w:sz w:val="26"/>
              </w:rPr>
              <w:t>hông tư số 06/2025/TT-BTC của Bộ Tài chính: Sửa đổi, bổ sung một số điều của các Thông tư của Bộ trưởng Bộ Tài chính quy định về phí, lệ phí</w:t>
            </w:r>
          </w:p>
        </w:tc>
        <w:tc>
          <w:tcPr>
            <w:tcW w:w="0" w:type="auto"/>
          </w:tcPr>
          <w:p w:rsidR="00054ADA" w:rsidRDefault="00054ADA"/>
          <w:p w:rsidR="00054ADA" w:rsidRDefault="00CD7A9E">
            <w:pPr>
              <w:spacing w:after="0" w:line="276" w:lineRule="auto"/>
            </w:pPr>
            <w:r>
              <w:rPr>
                <w:rFonts w:ascii="Times New Roman" w:eastAsia="Times New Roman" w:hAnsi="Times New Roman" w:cs="Times New Roman"/>
                <w:sz w:val="26"/>
              </w:rPr>
              <w:t>24-01-2025</w:t>
            </w:r>
          </w:p>
        </w:tc>
        <w:tc>
          <w:tcPr>
            <w:tcW w:w="0" w:type="auto"/>
          </w:tcPr>
          <w:p w:rsidR="00054ADA" w:rsidRDefault="00054ADA"/>
          <w:p w:rsidR="00054ADA" w:rsidRDefault="00CD7A9E">
            <w:pPr>
              <w:spacing w:after="0" w:line="276" w:lineRule="auto"/>
            </w:pPr>
            <w:r>
              <w:rPr>
                <w:rFonts w:ascii="Times New Roman" w:eastAsia="Times New Roman" w:hAnsi="Times New Roman" w:cs="Times New Roman"/>
                <w:sz w:val="26"/>
              </w:rPr>
              <w:t>Bộ Tài chính</w:t>
            </w:r>
          </w:p>
        </w:tc>
      </w:tr>
    </w:tbl>
    <w:p w:rsidR="00054ADA" w:rsidRDefault="00CD7A9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Yêu cầu đối với việc đổi giấy phép lái xe do Bộ Quốc phòng cấp sang giấy phép lái xe do ngành Công an cấp: - Người có giấy phép lái xe quân sự do Bộ Quốc phòng cấp còn thời hạn sử dụng, bị hỏng không còn sử dụng được nhưng vẫn còn thời hạn sử dụng có nhu cầu được đổi giấy phép lái xe; - Giấy phép lái xe quân sự có hiệu lực được phép lái nhiều hạng xe khác nhau, được đổi sang giấy phép lái xe có hiệu lực lái các hạng xe tương ứng; giấy phép lái xe quân sự hạng Cx được đổi sang giấy phép lái xe hạng C; - Khôn</w:t>
      </w:r>
      <w:r>
        <w:rPr>
          <w:rFonts w:ascii="Times New Roman" w:eastAsia="Times New Roman" w:hAnsi="Times New Roman" w:cs="Times New Roman"/>
          <w:sz w:val="26"/>
        </w:rPr>
        <w:t>g đổi giấy phép lái xe quân sự bị tẩy xóa thông tin; người vi phạm trật tự, an toàn giao thông đường bộ chưa thực hiện xong yêu cầu của cơ quan nhà nước có thẩm quyền về giải quyết, xử lý vụ việc vi phạm hành chính trong lĩnh vực trật tự, an toàn giao thông đường bộ.</w:t>
      </w:r>
    </w:p>
    <w:p w:rsidR="00054ADA" w:rsidRDefault="00CD7A9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054ADA" w:rsidRDefault="00CD7A9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https://thutuc.dichvucong.gov.vn/p/home/dvc-tthc-thu-tuc-hanh-chinh-chi-tiet.html?ma_thu_tuc=372399</w:t>
      </w:r>
    </w:p>
    <w:sectPr w:rsidR="00054AD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54ADA"/>
    <w:rsid w:val="00054ADA"/>
    <w:rsid w:val="00CD1E46"/>
    <w:rsid w:val="00CD7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3046C3B-CC6D-4B69-83DE-749E6887A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850</Words>
  <Characters>4847</Characters>
  <Application>Microsoft Office Word</Application>
  <DocSecurity>0</DocSecurity>
  <Lines>40</Lines>
  <Paragraphs>11</Paragraphs>
  <ScaleCrop>false</ScaleCrop>
  <Company/>
  <LinksUpToDate>false</LinksUpToDate>
  <CharactersWithSpaces>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2025-11-24T09:10:00Z</dcterms:created>
  <dcterms:modified xsi:type="dcterms:W3CDTF">2025-11-24T09:10:00Z</dcterms:modified>
</cp:coreProperties>
</file>