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3CCF" w:rsidRDefault="008037A2">
      <w:pPr>
        <w:spacing w:after="300" w:line="276" w:lineRule="auto"/>
        <w:jc w:val="center"/>
      </w:pPr>
      <w:r>
        <w:rPr>
          <w:rFonts w:ascii="Times New Roman" w:eastAsia="Times New Roman" w:hAnsi="Times New Roman" w:cs="Times New Roman"/>
          <w:b/>
          <w:sz w:val="26"/>
        </w:rPr>
        <w:t>Chi tiết thủ tục hành chính</w:t>
      </w:r>
    </w:p>
    <w:p w:rsidR="007A3CCF" w:rsidRDefault="008037A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3.000353</w:t>
      </w:r>
    </w:p>
    <w:p w:rsidR="007A3CCF" w:rsidRDefault="008037A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7A3CCF" w:rsidRDefault="008037A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lái xe quốc tế</w:t>
      </w:r>
    </w:p>
    <w:p w:rsidR="007A3CCF" w:rsidRDefault="008037A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A3CCF" w:rsidRDefault="008037A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A3CCF" w:rsidRDefault="008037A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7A3CCF" w:rsidRDefault="008037A2">
      <w:pPr>
        <w:spacing w:after="0" w:line="276" w:lineRule="auto"/>
        <w:jc w:val="both"/>
      </w:pPr>
      <w:r>
        <w:rPr>
          <w:rFonts w:ascii="Times New Roman" w:eastAsia="Times New Roman" w:hAnsi="Times New Roman" w:cs="Times New Roman"/>
          <w:b/>
          <w:sz w:val="26"/>
        </w:rPr>
        <w:t xml:space="preserve">Trình tự thực hiện: </w:t>
      </w:r>
    </w:p>
    <w:p w:rsidR="007A3CCF" w:rsidRDefault="007A3CCF">
      <w:pPr>
        <w:shd w:val="clear" w:color="auto" w:fill="F2F6F9"/>
        <w:spacing w:before="120" w:after="0" w:line="276" w:lineRule="auto"/>
        <w:jc w:val="both"/>
      </w:pPr>
    </w:p>
    <w:p w:rsidR="007A3CCF" w:rsidRDefault="008037A2">
      <w:pPr>
        <w:spacing w:after="0" w:line="276" w:lineRule="auto"/>
        <w:jc w:val="both"/>
      </w:pPr>
      <w:r>
        <w:rPr>
          <w:rFonts w:ascii="Times New Roman" w:eastAsia="Times New Roman" w:hAnsi="Times New Roman" w:cs="Times New Roman"/>
          <w:sz w:val="26"/>
        </w:rPr>
        <w:t>a) Nộp hồ sơ TTHC:  Cá nhân gửi đề nghị trực tiếp tại Cục Cảnh sát giao thông hoặc Phòng Cảnh sát giao thông hoặc gửi qua hệ thống dịch vụ công trực tuyến.   b) Giải quyết TTHC:  * Đối với người Việt Nam, người nước ngoài có thẻ thường trú hoặc thẻ tạm trú tại Việt Nam, có giấy phép lái xe quốc gia do Việt Nam cấp bằng vật liệu PET còn giá trị sử dụng: - Trường hợp đề nghị trực tiếp, phải xuất trình bản chính giấy phép lái xe quốc gia do Việt Nam cấp, hộ chiếu, thẻ thường trú (đối với người nước ngoài) để t</w:t>
      </w:r>
      <w:r>
        <w:rPr>
          <w:rFonts w:ascii="Times New Roman" w:eastAsia="Times New Roman" w:hAnsi="Times New Roman" w:cs="Times New Roman"/>
          <w:sz w:val="26"/>
        </w:rPr>
        <w:t>hực hiện kiểm tra tính chính xác, hợp pháp của việc cấp IDP và phải hoàn thành nghĩa vụ nộp lệ phí khi được tiếp nhận hồ sơ theo quy định; - Trường hợp gửi qua hệ thống dịch vụ công trực tuyến, cá nhân kê khai theo hướng dẫn và phải chịu trách nhiệm về tính chính xác, tính hợp pháp của nội dung đã kê khai, phải hoàn thành nghĩa vụ nộp lệ phí thông qua chức năng thanh toán lệ phí của hệ thống dịch vụ công trực tuyến và nộp phí sử dụng dịch vụ khác theo nhu cầu của cá nhân; - Cơ quan tiếp nhận hồ sơ nhập thôn</w:t>
      </w:r>
      <w:r>
        <w:rPr>
          <w:rFonts w:ascii="Times New Roman" w:eastAsia="Times New Roman" w:hAnsi="Times New Roman" w:cs="Times New Roman"/>
          <w:sz w:val="26"/>
        </w:rPr>
        <w:t xml:space="preserve">g tin điện tử; in phiếu hẹn trả kết quả sau 05 ngày làm việc kể từ ngày tiếp nhận hồ sơ hợp lệ hoặc gửi thông tin hẹn trả qua hệ thống dịch vụ công và có trách nhiệm thông báo trực tiếp hoặc bằng văn bản hoặc qua hệ thống dịch vụ công trực tuyến những nội dung cần bổ sung hoặc sửa đổi cho cá nhân trong thời hạn 02 ngày làm việc, kể từ ngày tiếp nhận hồ sơ; - Trong thời hạn 01 ngày làm việc, kể từ ngày nhận đủ hồ sơ hợp lệ theo quy định (bao gồm xác thực tài khoản định danh điện tử qua hệ thống định danh và </w:t>
      </w:r>
      <w:r>
        <w:rPr>
          <w:rFonts w:ascii="Times New Roman" w:eastAsia="Times New Roman" w:hAnsi="Times New Roman" w:cs="Times New Roman"/>
          <w:sz w:val="26"/>
        </w:rPr>
        <w:t>xác thực điện tử), Phòng Cảnh sát giao thông chuyển dữ liệu đến Cục Cảnh sát giao thông để quản lý tập trung và cấp giấy phép lái xe; - In và trả giấy phép lái xe được thực hiện tại Cục Cảnh sát giao thông hoặc Phòng Cảnh sát giao thông hoặc thông qua dịch vụ bưu chính theo yêu cầu của cá nhân. * Đối với người Việt Nam, người nước ngoài có thẻ thường trú hoặc thẻ tạm trú tại Việt Nam, có giấy phép lái xe quốc gia do các quốc gia là thành viên của điều ước quốc tế mà nước Cộng hòa xã hội chủ nghĩa Việt Nam l</w:t>
      </w:r>
      <w:r>
        <w:rPr>
          <w:rFonts w:ascii="Times New Roman" w:eastAsia="Times New Roman" w:hAnsi="Times New Roman" w:cs="Times New Roman"/>
          <w:sz w:val="26"/>
        </w:rPr>
        <w:t xml:space="preserve">à thành viên cấp, còn giá trị sử dụng: - Phải hoàn thành nghĩa vụ nộp lệ phí khi được tiếp nhận hồ sơ theo quy định.  - Cơ quan tiếp nhận hồ sơ nhập thông tin điện tử; in phiếu hẹn trả kết quả sau 05 ngày làm việc kể từ ngày tiếp nhận hồ sơ hợp lệ và có trách nhiệm thông báo trực tiếp hoặc bằng văn bản những nội dung cần bổ sung hoặc sửa đổi cho cá nhân trong thời hạn 02 ngày làm việc, kể từ ngày tiếp nhận đề nghị; - IDP được cấp trong thời hạn 05 ngày làm việc kể từ </w:t>
      </w:r>
      <w:r>
        <w:rPr>
          <w:rFonts w:ascii="Times New Roman" w:eastAsia="Times New Roman" w:hAnsi="Times New Roman" w:cs="Times New Roman"/>
          <w:sz w:val="26"/>
        </w:rPr>
        <w:lastRenderedPageBreak/>
        <w:t xml:space="preserve">ngày nhận đủ hồ sơ hợp lệ. Dữ liệu được </w:t>
      </w:r>
      <w:r>
        <w:rPr>
          <w:rFonts w:ascii="Times New Roman" w:eastAsia="Times New Roman" w:hAnsi="Times New Roman" w:cs="Times New Roman"/>
          <w:sz w:val="26"/>
        </w:rPr>
        <w:t>chuyển về Cục Cảnh sát giao thông để quản lý tập trung và cấp IDP; - In và trả giấy phép lái xe được thực hiện tại Cục Cảnh sát giao thông hoặc  Phòng Cảnh sát giao thông hoặc thông qua dịch vụ bưu chính theo yêu cầu của cá nhân.</w:t>
      </w:r>
    </w:p>
    <w:p w:rsidR="007A3CCF" w:rsidRDefault="008037A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0"/>
        <w:gridCol w:w="796"/>
        <w:gridCol w:w="3658"/>
        <w:gridCol w:w="4257"/>
      </w:tblGrid>
      <w:tr w:rsidR="007A3CCF">
        <w:tblPrEx>
          <w:tblCellMar>
            <w:top w:w="0" w:type="dxa"/>
            <w:bottom w:w="0" w:type="dxa"/>
          </w:tblCellMar>
        </w:tblPrEx>
        <w:tc>
          <w:tcPr>
            <w:tcW w:w="15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Hình thức nộp</w:t>
            </w:r>
          </w:p>
        </w:tc>
        <w:tc>
          <w:tcPr>
            <w:tcW w:w="20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Phí, lệ phí</w:t>
            </w:r>
          </w:p>
        </w:tc>
        <w:tc>
          <w:tcPr>
            <w:tcW w:w="30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Mô tả</w:t>
            </w:r>
          </w:p>
        </w:tc>
      </w:tr>
      <w:tr w:rsidR="007A3CCF">
        <w:tblPrEx>
          <w:tblCellMar>
            <w:top w:w="0" w:type="dxa"/>
            <w:bottom w:w="0" w:type="dxa"/>
          </w:tblCellMar>
        </w:tblPrEx>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Trực tiếp</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05 Ngày làm việc</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Nộp trực tiếp: 135.000 đồng/lần.  - Trường hợp tổ chức, cá nhân nộp hồ sơ theo hình thức trực tuyến: Kể từ ngày 01/12/2023 đến hết ngày 31/12/2025, áp dụng mức thu lệ phí là 115.000 đồng/lần cấp.)</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 Đối với người Việt Nam, người nước ngoài có thẻ thường trú hoặc thẻ tạm trú tại Việt Nam, có giấy phép lái xe quốc gia do Việt Nam cấp bằng vật liệu PET. còn giá trị sử dụng: Trực tiếp hoặc qua hệ thống dịch vụ công trực tuyến.  - Đối với người Việt Nam, người nước ngoài có thẻ thường trú hoặc thẻ tạm trú tại Việt Nam, có giấy phép lái xe quốc gia do các quốc gia là thành viên của điều ước quốc tế mà nước Cộng hòa xã hội chủ nghĩa Việt Nam là thành viên cấp, còn giá trị sử dụng: Trực tiếp.</w:t>
            </w:r>
          </w:p>
        </w:tc>
      </w:tr>
      <w:tr w:rsidR="007A3CCF">
        <w:tblPrEx>
          <w:tblCellMar>
            <w:top w:w="0" w:type="dxa"/>
            <w:bottom w:w="0" w:type="dxa"/>
          </w:tblCellMar>
        </w:tblPrEx>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Trực tuyến</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05 Ngày làm việc</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Nộp trực tiếp: 135.000 đồng/lần.  - Trường hợp tổ chức, cá nhân nộp hồ sơ theo hình thức trực tuyến: Kể từ ngày 01/12/2023 đến hết ngày 31/12/2025, áp dụng mức thu lệ phí là 115.000 đồng/lần cấp.)</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 xml:space="preserve">- Đối với người Việt Nam, người nước ngoài có thẻ thường trú hoặc thẻ tạm trú tại Việt Nam, có giấy phép lái xe quốc gia do Việt Nam cấp bằng vật liệu PET. còn giá trị sử dụng: Trực tiếp hoặc qua hệ thống dịch vụ công trực tuyến.  - Đối với người Việt Nam, người nước ngoài có thẻ thường trú hoặc thẻ tạm trú tại Việt Nam, có giấy phép lái xe quốc gia do các quốc gia là thành viên của điều ước quốc tế mà nước Cộng hòa xã hội chủ nghĩa Việt Nam là thành viên cấp, </w:t>
            </w:r>
            <w:r>
              <w:rPr>
                <w:rFonts w:ascii="Times New Roman" w:eastAsia="Times New Roman" w:hAnsi="Times New Roman" w:cs="Times New Roman"/>
                <w:sz w:val="26"/>
              </w:rPr>
              <w:lastRenderedPageBreak/>
              <w:t>còn giá trị sử dụng: Trực tiếp.</w:t>
            </w:r>
          </w:p>
        </w:tc>
      </w:tr>
    </w:tbl>
    <w:p w:rsidR="007A3CCF" w:rsidRDefault="008037A2">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7A3CCF" w:rsidRDefault="008037A2">
      <w:pPr>
        <w:shd w:val="clear" w:color="auto" w:fill="F2F6F9"/>
        <w:spacing w:before="120" w:after="0" w:line="276" w:lineRule="auto"/>
        <w:jc w:val="both"/>
      </w:pPr>
      <w:r>
        <w:rPr>
          <w:rFonts w:ascii="Times New Roman" w:eastAsia="Times New Roman" w:hAnsi="Times New Roman" w:cs="Times New Roman"/>
          <w:b/>
          <w:sz w:val="26"/>
        </w:rPr>
        <w:t xml:space="preserve">* Đối với người Việt Nam, người nước ngoài có thẻ thường trú hoặc thẻ tạm trú tại Việt Nam, có giấy phép lái xe quốc gia do Việt Nam cấp bằng vật liệu PET, còn giá trị sử dụng: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02"/>
        <w:gridCol w:w="2916"/>
        <w:gridCol w:w="1107"/>
      </w:tblGrid>
      <w:tr w:rsidR="007A3CCF">
        <w:tblPrEx>
          <w:tblCellMar>
            <w:top w:w="0" w:type="dxa"/>
            <w:bottom w:w="0" w:type="dxa"/>
          </w:tblCellMar>
        </w:tblPrEx>
        <w:tc>
          <w:tcPr>
            <w:tcW w:w="60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Tên giấy tờ</w:t>
            </w:r>
          </w:p>
        </w:tc>
        <w:tc>
          <w:tcPr>
            <w:tcW w:w="20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Mẫu đơn, tờ khai</w:t>
            </w:r>
          </w:p>
        </w:tc>
        <w:tc>
          <w:tcPr>
            <w:tcW w:w="20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Số lượng</w:t>
            </w:r>
          </w:p>
        </w:tc>
      </w:tr>
      <w:tr w:rsidR="007A3CCF">
        <w:tblPrEx>
          <w:tblCellMar>
            <w:top w:w="0" w:type="dxa"/>
            <w:bottom w:w="0" w:type="dxa"/>
          </w:tblCellMar>
        </w:tblPrEx>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Đề nghị cấp IDP theo mẫu quy định tại Phụ lục XVI ban hành kèm theo Thông tư số 12/2025/TT-BCA và 01 ảnh kích thước 3x4cm</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PhlcXVI.Muncpgplxq.t.doc</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3CCF">
        <w:tblPrEx>
          <w:tblCellMar>
            <w:top w:w="0" w:type="dxa"/>
            <w:bottom w:w="0" w:type="dxa"/>
          </w:tblCellMar>
        </w:tblPrEx>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Xuất trình Bản chính giấy phép lái xe quốc gia do Việt Nam cấp</w:t>
            </w:r>
          </w:p>
        </w:tc>
        <w:tc>
          <w:tcPr>
            <w:tcW w:w="0" w:type="auto"/>
          </w:tcPr>
          <w:p w:rsidR="007A3CCF" w:rsidRDefault="007A3CCF"/>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7A3CCF">
        <w:tblPrEx>
          <w:tblCellMar>
            <w:top w:w="0" w:type="dxa"/>
            <w:bottom w:w="0" w:type="dxa"/>
          </w:tblCellMar>
        </w:tblPrEx>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Xuất trình Hộ chiếu, thẻ thường trú (đối với người nước ngoài).</w:t>
            </w:r>
          </w:p>
        </w:tc>
        <w:tc>
          <w:tcPr>
            <w:tcW w:w="0" w:type="auto"/>
          </w:tcPr>
          <w:p w:rsidR="007A3CCF" w:rsidRDefault="007A3CCF"/>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7A3CCF" w:rsidRDefault="008037A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7A3CCF" w:rsidRDefault="008037A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7A3CCF" w:rsidRDefault="008037A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A3CCF" w:rsidRDefault="008037A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A3CCF" w:rsidRDefault="008037A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A3CCF" w:rsidRDefault="008037A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A3CCF" w:rsidRDefault="008037A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lái xe quốc tế.</w:t>
      </w:r>
    </w:p>
    <w:p w:rsidR="007A3CCF" w:rsidRDefault="008037A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2"/>
        <w:gridCol w:w="3336"/>
        <w:gridCol w:w="1423"/>
        <w:gridCol w:w="2794"/>
      </w:tblGrid>
      <w:tr w:rsidR="007A3CCF">
        <w:tblPrEx>
          <w:tblCellMar>
            <w:top w:w="0" w:type="dxa"/>
            <w:bottom w:w="0" w:type="dxa"/>
          </w:tblCellMar>
        </w:tblPrEx>
        <w:tc>
          <w:tcPr>
            <w:tcW w:w="20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Số ký hiệu</w:t>
            </w:r>
          </w:p>
        </w:tc>
        <w:tc>
          <w:tcPr>
            <w:tcW w:w="35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Trích yếu</w:t>
            </w:r>
          </w:p>
        </w:tc>
        <w:tc>
          <w:tcPr>
            <w:tcW w:w="15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Ngày ban hành</w:t>
            </w:r>
          </w:p>
        </w:tc>
        <w:tc>
          <w:tcPr>
            <w:tcW w:w="3000" w:type="dxa"/>
          </w:tcPr>
          <w:p w:rsidR="007A3CCF" w:rsidRDefault="007A3CCF"/>
          <w:p w:rsidR="007A3CCF" w:rsidRDefault="008037A2">
            <w:pPr>
              <w:spacing w:after="0" w:line="276" w:lineRule="auto"/>
              <w:jc w:val="center"/>
            </w:pPr>
            <w:r>
              <w:rPr>
                <w:rFonts w:ascii="Times New Roman" w:eastAsia="Times New Roman" w:hAnsi="Times New Roman" w:cs="Times New Roman"/>
                <w:b/>
                <w:sz w:val="26"/>
              </w:rPr>
              <w:t>Cơ quan ban hành</w:t>
            </w:r>
          </w:p>
        </w:tc>
      </w:tr>
      <w:tr w:rsidR="007A3CCF">
        <w:tblPrEx>
          <w:tblCellMar>
            <w:top w:w="0" w:type="dxa"/>
            <w:bottom w:w="0" w:type="dxa"/>
          </w:tblCellMar>
        </w:tblPrEx>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Luật Hóa chất</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06/2007/QH12</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21-11-2007</w:t>
            </w:r>
          </w:p>
        </w:tc>
        <w:tc>
          <w:tcPr>
            <w:tcW w:w="0" w:type="auto"/>
          </w:tcPr>
          <w:p w:rsidR="007A3CCF" w:rsidRDefault="007A3CCF"/>
          <w:p w:rsidR="007A3CCF" w:rsidRDefault="008037A2">
            <w:pPr>
              <w:spacing w:after="0" w:line="276" w:lineRule="auto"/>
            </w:pPr>
            <w:r>
              <w:rPr>
                <w:rFonts w:ascii="Times New Roman" w:eastAsia="Times New Roman" w:hAnsi="Times New Roman" w:cs="Times New Roman"/>
                <w:sz w:val="26"/>
              </w:rPr>
              <w:t>Quốc Hội</w:t>
            </w:r>
          </w:p>
        </w:tc>
      </w:tr>
    </w:tbl>
    <w:p w:rsidR="007A3CCF" w:rsidRDefault="008037A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w:t>
      </w:r>
    </w:p>
    <w:p w:rsidR="007A3CCF" w:rsidRDefault="008037A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A3CCF" w:rsidRDefault="008037A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https://thutuc.dichvucong.gov.vn/p/home/dvc-tthc-thu-tuc-hanh-chinh-chi-tiet.html?ma_thu_tuc=372383</w:t>
      </w:r>
    </w:p>
    <w:sectPr w:rsidR="007A3CC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3CCF"/>
    <w:rsid w:val="007A3CCF"/>
    <w:rsid w:val="008037A2"/>
    <w:rsid w:val="00ED3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83EE66-4F7E-400A-9186-C3D3D536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2025-11-24T09:09:00Z</dcterms:created>
  <dcterms:modified xsi:type="dcterms:W3CDTF">2025-11-24T09:09:00Z</dcterms:modified>
</cp:coreProperties>
</file>