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4CD2" w:rsidRDefault="00EE6F5F">
      <w:pPr>
        <w:spacing w:after="300" w:line="276" w:lineRule="auto"/>
        <w:jc w:val="center"/>
      </w:pPr>
      <w:r>
        <w:rPr>
          <w:rFonts w:ascii="Times New Roman" w:eastAsia="Times New Roman" w:hAnsi="Times New Roman" w:cs="Times New Roman"/>
          <w:b/>
          <w:sz w:val="26"/>
        </w:rPr>
        <w:t>Chi tiết thủ tục hành chính</w:t>
      </w:r>
    </w:p>
    <w:p w:rsidR="00F74CD2" w:rsidRDefault="00EE6F5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3.000357</w:t>
      </w:r>
    </w:p>
    <w:p w:rsidR="00F74CD2" w:rsidRDefault="00EE6F5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F74CD2" w:rsidRDefault="00EE6F5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giấy phép sát hạch của trung tâm sát hạch lái xe loại 1, loại 2</w:t>
      </w:r>
    </w:p>
    <w:p w:rsidR="00F74CD2" w:rsidRDefault="00EE6F5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F74CD2" w:rsidRDefault="00EE6F5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F74CD2" w:rsidRDefault="00EE6F5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rsidR="00F74CD2" w:rsidRDefault="00EE6F5F">
      <w:pPr>
        <w:spacing w:after="0" w:line="276" w:lineRule="auto"/>
        <w:jc w:val="both"/>
      </w:pPr>
      <w:r>
        <w:rPr>
          <w:rFonts w:ascii="Times New Roman" w:eastAsia="Times New Roman" w:hAnsi="Times New Roman" w:cs="Times New Roman"/>
          <w:b/>
          <w:sz w:val="26"/>
        </w:rPr>
        <w:t xml:space="preserve">Trình tự thực hiện: </w:t>
      </w:r>
    </w:p>
    <w:p w:rsidR="00F74CD2" w:rsidRDefault="00F74CD2">
      <w:pPr>
        <w:shd w:val="clear" w:color="auto" w:fill="F2F6F9"/>
        <w:spacing w:before="120" w:after="0" w:line="276" w:lineRule="auto"/>
        <w:jc w:val="both"/>
      </w:pPr>
    </w:p>
    <w:p w:rsidR="00F74CD2" w:rsidRDefault="00EE6F5F">
      <w:pPr>
        <w:spacing w:after="0" w:line="276" w:lineRule="auto"/>
        <w:jc w:val="both"/>
      </w:pPr>
      <w:r>
        <w:rPr>
          <w:rFonts w:ascii="Times New Roman" w:eastAsia="Times New Roman" w:hAnsi="Times New Roman" w:cs="Times New Roman"/>
          <w:sz w:val="26"/>
        </w:rPr>
        <w:t>a) Nộp hồ sơ TTHC:   b) Giải quyết TTHC: - Trong thời hạn 05 ngày làm việc kể từ ngày phát hiện hành vi vi phạm quy định hoặc giải thể hoạt động sát hạch, Cục Cảnh sát giao thông ban hành quyết định thu hồi giấy phép sát hạch, thông báo đến các cơ quan liên quan để phối hợp thực hiện và công bố trên Trang thông tin điện tử. - Trung tâm sát hạch lái xe phải nộp lại giấy phép sát hạch cho Cục Cảnh sát giao, đồng thời dừng toàn bộ hoạt động sát hạch lái xe theo giấy phép đã bị thu hồi ngay sau khi quyết định c</w:t>
      </w:r>
      <w:r>
        <w:rPr>
          <w:rFonts w:ascii="Times New Roman" w:eastAsia="Times New Roman" w:hAnsi="Times New Roman" w:cs="Times New Roman"/>
          <w:sz w:val="26"/>
        </w:rPr>
        <w:t>ó hiệu lực.</w:t>
      </w:r>
    </w:p>
    <w:p w:rsidR="00F74CD2" w:rsidRDefault="00EE6F5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96"/>
        <w:gridCol w:w="1105"/>
        <w:gridCol w:w="1498"/>
        <w:gridCol w:w="5912"/>
      </w:tblGrid>
      <w:tr w:rsidR="00F74CD2">
        <w:tblPrEx>
          <w:tblCellMar>
            <w:top w:w="0" w:type="dxa"/>
            <w:bottom w:w="0" w:type="dxa"/>
          </w:tblCellMar>
        </w:tblPrEx>
        <w:tc>
          <w:tcPr>
            <w:tcW w:w="1500" w:type="dxa"/>
          </w:tcPr>
          <w:p w:rsidR="00F74CD2" w:rsidRDefault="00F74CD2"/>
          <w:p w:rsidR="00F74CD2" w:rsidRDefault="00EE6F5F">
            <w:pPr>
              <w:spacing w:after="0" w:line="276" w:lineRule="auto"/>
              <w:jc w:val="center"/>
            </w:pPr>
            <w:r>
              <w:rPr>
                <w:rFonts w:ascii="Times New Roman" w:eastAsia="Times New Roman" w:hAnsi="Times New Roman" w:cs="Times New Roman"/>
                <w:b/>
                <w:sz w:val="26"/>
              </w:rPr>
              <w:t>Hình thức nộp</w:t>
            </w:r>
          </w:p>
        </w:tc>
        <w:tc>
          <w:tcPr>
            <w:tcW w:w="2000" w:type="dxa"/>
          </w:tcPr>
          <w:p w:rsidR="00F74CD2" w:rsidRDefault="00F74CD2"/>
          <w:p w:rsidR="00F74CD2" w:rsidRDefault="00EE6F5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74CD2" w:rsidRDefault="00F74CD2"/>
          <w:p w:rsidR="00F74CD2" w:rsidRDefault="00EE6F5F">
            <w:pPr>
              <w:spacing w:after="0" w:line="276" w:lineRule="auto"/>
              <w:jc w:val="center"/>
            </w:pPr>
            <w:r>
              <w:rPr>
                <w:rFonts w:ascii="Times New Roman" w:eastAsia="Times New Roman" w:hAnsi="Times New Roman" w:cs="Times New Roman"/>
                <w:b/>
                <w:sz w:val="26"/>
              </w:rPr>
              <w:t>Phí, lệ phí</w:t>
            </w:r>
          </w:p>
        </w:tc>
        <w:tc>
          <w:tcPr>
            <w:tcW w:w="3000" w:type="dxa"/>
          </w:tcPr>
          <w:p w:rsidR="00F74CD2" w:rsidRDefault="00F74CD2"/>
          <w:p w:rsidR="00F74CD2" w:rsidRDefault="00EE6F5F">
            <w:pPr>
              <w:spacing w:after="0" w:line="276" w:lineRule="auto"/>
              <w:jc w:val="center"/>
            </w:pPr>
            <w:r>
              <w:rPr>
                <w:rFonts w:ascii="Times New Roman" w:eastAsia="Times New Roman" w:hAnsi="Times New Roman" w:cs="Times New Roman"/>
                <w:b/>
                <w:sz w:val="26"/>
              </w:rPr>
              <w:t>Mô tả</w:t>
            </w:r>
          </w:p>
        </w:tc>
      </w:tr>
      <w:tr w:rsidR="00F74CD2">
        <w:tblPrEx>
          <w:tblCellMar>
            <w:top w:w="0" w:type="dxa"/>
            <w:bottom w:w="0" w:type="dxa"/>
          </w:tblCellMar>
        </w:tblPrEx>
        <w:tc>
          <w:tcPr>
            <w:tcW w:w="0" w:type="auto"/>
          </w:tcPr>
          <w:p w:rsidR="00F74CD2" w:rsidRDefault="00F74CD2"/>
          <w:p w:rsidR="00F74CD2" w:rsidRDefault="00EE6F5F">
            <w:pPr>
              <w:spacing w:after="0" w:line="276" w:lineRule="auto"/>
            </w:pPr>
            <w:r>
              <w:rPr>
                <w:rFonts w:ascii="Times New Roman" w:eastAsia="Times New Roman" w:hAnsi="Times New Roman" w:cs="Times New Roman"/>
                <w:sz w:val="26"/>
              </w:rPr>
              <w:t>Trực tiếp</w:t>
            </w:r>
          </w:p>
        </w:tc>
        <w:tc>
          <w:tcPr>
            <w:tcW w:w="0" w:type="auto"/>
          </w:tcPr>
          <w:p w:rsidR="00F74CD2" w:rsidRDefault="00F74CD2"/>
          <w:p w:rsidR="00F74CD2" w:rsidRDefault="00EE6F5F">
            <w:pPr>
              <w:spacing w:after="0" w:line="276" w:lineRule="auto"/>
            </w:pPr>
            <w:r>
              <w:rPr>
                <w:rFonts w:ascii="Times New Roman" w:eastAsia="Times New Roman" w:hAnsi="Times New Roman" w:cs="Times New Roman"/>
                <w:sz w:val="26"/>
              </w:rPr>
              <w:t>05 Ngày làm việc</w:t>
            </w:r>
          </w:p>
        </w:tc>
        <w:tc>
          <w:tcPr>
            <w:tcW w:w="0" w:type="auto"/>
          </w:tcPr>
          <w:p w:rsidR="00F74CD2" w:rsidRDefault="00F74CD2"/>
          <w:p w:rsidR="00F74CD2" w:rsidRDefault="00F74CD2">
            <w:pPr>
              <w:spacing w:after="0" w:line="276" w:lineRule="auto"/>
            </w:pPr>
          </w:p>
        </w:tc>
        <w:tc>
          <w:tcPr>
            <w:tcW w:w="0" w:type="auto"/>
          </w:tcPr>
          <w:p w:rsidR="00F74CD2" w:rsidRDefault="00F74CD2"/>
          <w:p w:rsidR="00F74CD2" w:rsidRDefault="00EE6F5F">
            <w:pPr>
              <w:spacing w:after="0" w:line="276" w:lineRule="auto"/>
            </w:pPr>
            <w:r>
              <w:rPr>
                <w:rFonts w:ascii="Times New Roman" w:eastAsia="Times New Roman" w:hAnsi="Times New Roman" w:cs="Times New Roman"/>
                <w:sz w:val="26"/>
              </w:rPr>
              <w:t>Qua công tác kiểm tra, nắm tình hình hoạt động các Trung tâm sát hạch. 05 ngày làm việc kể từ ngày phát hiện vi phạm và có hồ sơ, căn cứ theo quy định.</w:t>
            </w:r>
          </w:p>
        </w:tc>
      </w:tr>
    </w:tbl>
    <w:p w:rsidR="00F74CD2" w:rsidRDefault="00EE6F5F">
      <w:pPr>
        <w:spacing w:before="240" w:after="0" w:line="276" w:lineRule="auto"/>
        <w:jc w:val="both"/>
      </w:pPr>
      <w:r>
        <w:rPr>
          <w:rFonts w:ascii="Times New Roman" w:eastAsia="Times New Roman" w:hAnsi="Times New Roman" w:cs="Times New Roman"/>
          <w:b/>
          <w:sz w:val="26"/>
        </w:rPr>
        <w:t xml:space="preserve">Thành phần hồ sơ: </w:t>
      </w:r>
    </w:p>
    <w:p w:rsidR="00F74CD2" w:rsidRDefault="00EE6F5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84"/>
        <w:gridCol w:w="1386"/>
        <w:gridCol w:w="1441"/>
      </w:tblGrid>
      <w:tr w:rsidR="00F74CD2">
        <w:tblPrEx>
          <w:tblCellMar>
            <w:top w:w="0" w:type="dxa"/>
            <w:bottom w:w="0" w:type="dxa"/>
          </w:tblCellMar>
        </w:tblPrEx>
        <w:tc>
          <w:tcPr>
            <w:tcW w:w="6000" w:type="dxa"/>
          </w:tcPr>
          <w:p w:rsidR="00F74CD2" w:rsidRDefault="00F74CD2"/>
          <w:p w:rsidR="00F74CD2" w:rsidRDefault="00EE6F5F">
            <w:pPr>
              <w:spacing w:after="0" w:line="276" w:lineRule="auto"/>
              <w:jc w:val="center"/>
            </w:pPr>
            <w:r>
              <w:rPr>
                <w:rFonts w:ascii="Times New Roman" w:eastAsia="Times New Roman" w:hAnsi="Times New Roman" w:cs="Times New Roman"/>
                <w:b/>
                <w:sz w:val="26"/>
              </w:rPr>
              <w:t>Tên giấy tờ</w:t>
            </w:r>
          </w:p>
        </w:tc>
        <w:tc>
          <w:tcPr>
            <w:tcW w:w="2000" w:type="dxa"/>
          </w:tcPr>
          <w:p w:rsidR="00F74CD2" w:rsidRDefault="00F74CD2"/>
          <w:p w:rsidR="00F74CD2" w:rsidRDefault="00EE6F5F">
            <w:pPr>
              <w:spacing w:after="0" w:line="276" w:lineRule="auto"/>
              <w:jc w:val="center"/>
            </w:pPr>
            <w:r>
              <w:rPr>
                <w:rFonts w:ascii="Times New Roman" w:eastAsia="Times New Roman" w:hAnsi="Times New Roman" w:cs="Times New Roman"/>
                <w:b/>
                <w:sz w:val="26"/>
              </w:rPr>
              <w:t>Mẫu đơn, tờ khai</w:t>
            </w:r>
          </w:p>
        </w:tc>
        <w:tc>
          <w:tcPr>
            <w:tcW w:w="2000" w:type="dxa"/>
          </w:tcPr>
          <w:p w:rsidR="00F74CD2" w:rsidRDefault="00F74CD2"/>
          <w:p w:rsidR="00F74CD2" w:rsidRDefault="00EE6F5F">
            <w:pPr>
              <w:spacing w:after="0" w:line="276" w:lineRule="auto"/>
              <w:jc w:val="center"/>
            </w:pPr>
            <w:r>
              <w:rPr>
                <w:rFonts w:ascii="Times New Roman" w:eastAsia="Times New Roman" w:hAnsi="Times New Roman" w:cs="Times New Roman"/>
                <w:b/>
                <w:sz w:val="26"/>
              </w:rPr>
              <w:t>Số lượng</w:t>
            </w:r>
          </w:p>
        </w:tc>
      </w:tr>
      <w:tr w:rsidR="00F74CD2">
        <w:tblPrEx>
          <w:tblCellMar>
            <w:top w:w="0" w:type="dxa"/>
            <w:bottom w:w="0" w:type="dxa"/>
          </w:tblCellMar>
        </w:tblPrEx>
        <w:tc>
          <w:tcPr>
            <w:tcW w:w="0" w:type="auto"/>
          </w:tcPr>
          <w:p w:rsidR="00F74CD2" w:rsidRDefault="00F74CD2"/>
          <w:p w:rsidR="00F74CD2" w:rsidRDefault="00EE6F5F">
            <w:pPr>
              <w:spacing w:after="0" w:line="276" w:lineRule="auto"/>
            </w:pPr>
            <w:r>
              <w:rPr>
                <w:rFonts w:ascii="Times New Roman" w:eastAsia="Times New Roman" w:hAnsi="Times New Roman" w:cs="Times New Roman"/>
                <w:sz w:val="26"/>
              </w:rPr>
              <w:t>Giấy phép sát hạch đã được cấp</w:t>
            </w:r>
          </w:p>
        </w:tc>
        <w:tc>
          <w:tcPr>
            <w:tcW w:w="0" w:type="auto"/>
          </w:tcPr>
          <w:p w:rsidR="00F74CD2" w:rsidRDefault="00F74CD2"/>
        </w:tc>
        <w:tc>
          <w:tcPr>
            <w:tcW w:w="0" w:type="auto"/>
          </w:tcPr>
          <w:p w:rsidR="00F74CD2" w:rsidRDefault="00F74CD2"/>
          <w:p w:rsidR="00F74CD2" w:rsidRDefault="00EE6F5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74CD2">
        <w:tblPrEx>
          <w:tblCellMar>
            <w:top w:w="0" w:type="dxa"/>
            <w:bottom w:w="0" w:type="dxa"/>
          </w:tblCellMar>
        </w:tblPrEx>
        <w:tc>
          <w:tcPr>
            <w:tcW w:w="0" w:type="auto"/>
          </w:tcPr>
          <w:p w:rsidR="00F74CD2" w:rsidRDefault="00F74CD2"/>
          <w:p w:rsidR="00F74CD2" w:rsidRDefault="00EE6F5F">
            <w:pPr>
              <w:spacing w:after="0" w:line="276" w:lineRule="auto"/>
            </w:pPr>
            <w:r>
              <w:rPr>
                <w:rFonts w:ascii="Times New Roman" w:eastAsia="Times New Roman" w:hAnsi="Times New Roman" w:cs="Times New Roman"/>
                <w:sz w:val="26"/>
              </w:rPr>
              <w:t xml:space="preserve">Báo cáo tình hình hoạt động của các Trung tâm sát hạch hoặc </w:t>
            </w:r>
            <w:r>
              <w:rPr>
                <w:rFonts w:ascii="Times New Roman" w:eastAsia="Times New Roman" w:hAnsi="Times New Roman" w:cs="Times New Roman"/>
                <w:sz w:val="26"/>
              </w:rPr>
              <w:lastRenderedPageBreak/>
              <w:t>biên bản vi phạm hoặc Quyết định giải thể</w:t>
            </w:r>
          </w:p>
        </w:tc>
        <w:tc>
          <w:tcPr>
            <w:tcW w:w="0" w:type="auto"/>
          </w:tcPr>
          <w:p w:rsidR="00F74CD2" w:rsidRDefault="00F74CD2"/>
        </w:tc>
        <w:tc>
          <w:tcPr>
            <w:tcW w:w="0" w:type="auto"/>
          </w:tcPr>
          <w:p w:rsidR="00F74CD2" w:rsidRDefault="00F74CD2"/>
          <w:p w:rsidR="00F74CD2" w:rsidRDefault="00EE6F5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bl>
    <w:p w:rsidR="00F74CD2" w:rsidRDefault="00EE6F5F">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rsidR="00F74CD2" w:rsidRDefault="00EE6F5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rsidR="00F74CD2" w:rsidRDefault="00EE6F5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F74CD2" w:rsidRDefault="00EE6F5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74CD2" w:rsidRDefault="00EE6F5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74CD2" w:rsidRDefault="00EE6F5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74CD2" w:rsidRDefault="00EE6F5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thu hồi giấy phép sát hạch.</w:t>
      </w:r>
    </w:p>
    <w:p w:rsidR="00F74CD2" w:rsidRDefault="00EE6F5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75"/>
        <w:gridCol w:w="3918"/>
        <w:gridCol w:w="1255"/>
        <w:gridCol w:w="2363"/>
      </w:tblGrid>
      <w:tr w:rsidR="00F74CD2">
        <w:tblPrEx>
          <w:tblCellMar>
            <w:top w:w="0" w:type="dxa"/>
            <w:bottom w:w="0" w:type="dxa"/>
          </w:tblCellMar>
        </w:tblPrEx>
        <w:tc>
          <w:tcPr>
            <w:tcW w:w="2000" w:type="dxa"/>
          </w:tcPr>
          <w:p w:rsidR="00F74CD2" w:rsidRDefault="00F74CD2"/>
          <w:p w:rsidR="00F74CD2" w:rsidRDefault="00EE6F5F">
            <w:pPr>
              <w:spacing w:after="0" w:line="276" w:lineRule="auto"/>
              <w:jc w:val="center"/>
            </w:pPr>
            <w:r>
              <w:rPr>
                <w:rFonts w:ascii="Times New Roman" w:eastAsia="Times New Roman" w:hAnsi="Times New Roman" w:cs="Times New Roman"/>
                <w:b/>
                <w:sz w:val="26"/>
              </w:rPr>
              <w:t>Số ký hiệu</w:t>
            </w:r>
          </w:p>
        </w:tc>
        <w:tc>
          <w:tcPr>
            <w:tcW w:w="3500" w:type="dxa"/>
          </w:tcPr>
          <w:p w:rsidR="00F74CD2" w:rsidRDefault="00F74CD2"/>
          <w:p w:rsidR="00F74CD2" w:rsidRDefault="00EE6F5F">
            <w:pPr>
              <w:spacing w:after="0" w:line="276" w:lineRule="auto"/>
              <w:jc w:val="center"/>
            </w:pPr>
            <w:r>
              <w:rPr>
                <w:rFonts w:ascii="Times New Roman" w:eastAsia="Times New Roman" w:hAnsi="Times New Roman" w:cs="Times New Roman"/>
                <w:b/>
                <w:sz w:val="26"/>
              </w:rPr>
              <w:t>Trích yếu</w:t>
            </w:r>
          </w:p>
        </w:tc>
        <w:tc>
          <w:tcPr>
            <w:tcW w:w="1500" w:type="dxa"/>
          </w:tcPr>
          <w:p w:rsidR="00F74CD2" w:rsidRDefault="00F74CD2"/>
          <w:p w:rsidR="00F74CD2" w:rsidRDefault="00EE6F5F">
            <w:pPr>
              <w:spacing w:after="0" w:line="276" w:lineRule="auto"/>
              <w:jc w:val="center"/>
            </w:pPr>
            <w:r>
              <w:rPr>
                <w:rFonts w:ascii="Times New Roman" w:eastAsia="Times New Roman" w:hAnsi="Times New Roman" w:cs="Times New Roman"/>
                <w:b/>
                <w:sz w:val="26"/>
              </w:rPr>
              <w:t>Ngày ban hành</w:t>
            </w:r>
          </w:p>
        </w:tc>
        <w:tc>
          <w:tcPr>
            <w:tcW w:w="3000" w:type="dxa"/>
          </w:tcPr>
          <w:p w:rsidR="00F74CD2" w:rsidRDefault="00F74CD2"/>
          <w:p w:rsidR="00F74CD2" w:rsidRDefault="00EE6F5F">
            <w:pPr>
              <w:spacing w:after="0" w:line="276" w:lineRule="auto"/>
              <w:jc w:val="center"/>
            </w:pPr>
            <w:r>
              <w:rPr>
                <w:rFonts w:ascii="Times New Roman" w:eastAsia="Times New Roman" w:hAnsi="Times New Roman" w:cs="Times New Roman"/>
                <w:b/>
                <w:sz w:val="26"/>
              </w:rPr>
              <w:t>Cơ quan ban hành</w:t>
            </w:r>
          </w:p>
        </w:tc>
      </w:tr>
      <w:tr w:rsidR="00F74CD2">
        <w:tblPrEx>
          <w:tblCellMar>
            <w:top w:w="0" w:type="dxa"/>
            <w:bottom w:w="0" w:type="dxa"/>
          </w:tblCellMar>
        </w:tblPrEx>
        <w:tc>
          <w:tcPr>
            <w:tcW w:w="0" w:type="auto"/>
          </w:tcPr>
          <w:p w:rsidR="00F74CD2" w:rsidRDefault="00F74CD2"/>
          <w:p w:rsidR="00F74CD2" w:rsidRDefault="00EE6F5F">
            <w:pPr>
              <w:spacing w:after="0" w:line="276" w:lineRule="auto"/>
            </w:pPr>
            <w:r>
              <w:rPr>
                <w:rFonts w:ascii="Times New Roman" w:eastAsia="Times New Roman" w:hAnsi="Times New Roman" w:cs="Times New Roman"/>
                <w:sz w:val="26"/>
              </w:rPr>
              <w:t>160/2024/NĐ-CP</w:t>
            </w:r>
          </w:p>
        </w:tc>
        <w:tc>
          <w:tcPr>
            <w:tcW w:w="0" w:type="auto"/>
          </w:tcPr>
          <w:p w:rsidR="00F74CD2" w:rsidRDefault="00F74CD2"/>
          <w:p w:rsidR="00F74CD2" w:rsidRDefault="00EE6F5F">
            <w:pPr>
              <w:spacing w:after="0" w:line="276" w:lineRule="auto"/>
            </w:pPr>
            <w:r>
              <w:rPr>
                <w:rFonts w:ascii="Times New Roman" w:eastAsia="Times New Roman" w:hAnsi="Times New Roman" w:cs="Times New Roman"/>
                <w:sz w:val="26"/>
              </w:rPr>
              <w:t>Quy định về hoạt động đào tạo và sát hạch lái xe.</w:t>
            </w:r>
          </w:p>
        </w:tc>
        <w:tc>
          <w:tcPr>
            <w:tcW w:w="0" w:type="auto"/>
          </w:tcPr>
          <w:p w:rsidR="00F74CD2" w:rsidRDefault="00F74CD2"/>
          <w:p w:rsidR="00F74CD2" w:rsidRDefault="00EE6F5F">
            <w:pPr>
              <w:spacing w:after="0" w:line="276" w:lineRule="auto"/>
            </w:pPr>
            <w:r>
              <w:rPr>
                <w:rFonts w:ascii="Times New Roman" w:eastAsia="Times New Roman" w:hAnsi="Times New Roman" w:cs="Times New Roman"/>
                <w:sz w:val="26"/>
              </w:rPr>
              <w:t>18-12-2024</w:t>
            </w:r>
          </w:p>
        </w:tc>
        <w:tc>
          <w:tcPr>
            <w:tcW w:w="0" w:type="auto"/>
          </w:tcPr>
          <w:p w:rsidR="00F74CD2" w:rsidRDefault="00F74CD2"/>
          <w:p w:rsidR="00F74CD2" w:rsidRDefault="00EE6F5F">
            <w:pPr>
              <w:spacing w:after="0" w:line="276" w:lineRule="auto"/>
            </w:pPr>
            <w:r>
              <w:rPr>
                <w:rFonts w:ascii="Times New Roman" w:eastAsia="Times New Roman" w:hAnsi="Times New Roman" w:cs="Times New Roman"/>
                <w:sz w:val="26"/>
              </w:rPr>
              <w:t>Chính phủ</w:t>
            </w:r>
          </w:p>
        </w:tc>
      </w:tr>
    </w:tbl>
    <w:p w:rsidR="00F74CD2" w:rsidRDefault="00EE6F5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Trung tâm sát hạch bị thu hồi không thời hạn trong các trường hợp sau: </w:t>
      </w:r>
      <w:r>
        <w:rPr>
          <w:rFonts w:ascii="Times New Roman" w:eastAsia="Times New Roman" w:hAnsi="Times New Roman" w:cs="Times New Roman"/>
          <w:sz w:val="26"/>
        </w:rPr>
        <w:t>- Có hành vi gian lận để được cấp giấy phép sát hạch; - Không triển khai hoạt động sát hạch lái xe sau thời hạn 24 tháng, kể từ ngày được cấp giấy phép sát hạch; - Bị tước quyền sử dụng giấy phép sát hạch từ 02 lần trở lên trong thời gian 18 tháng; - Giấy phép sát hạch được cấp không đúng thẩm quyền hoặc sai quy định; - Tẩy xóa, sửa chữa làm sai lệch nội dung trên giấy phép sát hạch được cấp; - Cho thuê, cho mượn giấy phép sát hạch; - Trung tâm sát hạch lái xe giải thể theo quy định của pháp luật.</w:t>
      </w:r>
    </w:p>
    <w:p w:rsidR="00F74CD2" w:rsidRDefault="00EE6F5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74CD2" w:rsidRDefault="00EE6F5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https://thutuc.dichvucong.gov.vn/p/home/dvc-tthc-thu-tuc-hanh-chinh-chi-tiet.html?ma_thu_tuc=372390</w:t>
      </w:r>
    </w:p>
    <w:sectPr w:rsidR="00F74CD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74CD2"/>
    <w:rsid w:val="00C262C9"/>
    <w:rsid w:val="00EE6F5F"/>
    <w:rsid w:val="00F7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BA7319-6EB8-41A7-ACF8-B8CE5CC2D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2025-11-24T09:09:00Z</dcterms:created>
  <dcterms:modified xsi:type="dcterms:W3CDTF">2025-11-24T09:09:00Z</dcterms:modified>
</cp:coreProperties>
</file>