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4E03" w:rsidRDefault="00D613A4">
      <w:pPr>
        <w:spacing w:after="300" w:line="276" w:lineRule="auto"/>
        <w:jc w:val="center"/>
      </w:pPr>
      <w:r>
        <w:rPr>
          <w:rFonts w:ascii="Times New Roman" w:eastAsia="Times New Roman" w:hAnsi="Times New Roman" w:cs="Times New Roman"/>
          <w:b/>
          <w:sz w:val="26"/>
        </w:rPr>
        <w:t>Chi tiết thủ tục hành chính</w:t>
      </w:r>
    </w:p>
    <w:p w:rsidR="00754E03" w:rsidRDefault="00D613A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3.000361</w:t>
      </w:r>
    </w:p>
    <w:p w:rsidR="00754E03" w:rsidRDefault="00D613A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754E03" w:rsidRDefault="00D613A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cho trung tâm sát hạch lái xe loại 3</w:t>
      </w:r>
    </w:p>
    <w:p w:rsidR="00754E03" w:rsidRDefault="00D613A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54E03" w:rsidRDefault="00D613A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54E03" w:rsidRDefault="00D613A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754E03" w:rsidRDefault="00D613A4">
      <w:pPr>
        <w:spacing w:after="0" w:line="276" w:lineRule="auto"/>
        <w:jc w:val="both"/>
      </w:pPr>
      <w:r>
        <w:rPr>
          <w:rFonts w:ascii="Times New Roman" w:eastAsia="Times New Roman" w:hAnsi="Times New Roman" w:cs="Times New Roman"/>
          <w:b/>
          <w:sz w:val="26"/>
        </w:rPr>
        <w:t xml:space="preserve">Trình tự thực hiện: </w:t>
      </w:r>
    </w:p>
    <w:p w:rsidR="00754E03" w:rsidRDefault="00754E03">
      <w:pPr>
        <w:shd w:val="clear" w:color="auto" w:fill="F2F6F9"/>
        <w:spacing w:before="120" w:after="0" w:line="276" w:lineRule="auto"/>
        <w:jc w:val="both"/>
      </w:pPr>
    </w:p>
    <w:p w:rsidR="00754E03" w:rsidRDefault="00D613A4">
      <w:pPr>
        <w:spacing w:after="0" w:line="276" w:lineRule="auto"/>
        <w:jc w:val="both"/>
      </w:pPr>
      <w:r>
        <w:rPr>
          <w:rFonts w:ascii="Times New Roman" w:eastAsia="Times New Roman" w:hAnsi="Times New Roman" w:cs="Times New Roman"/>
          <w:sz w:val="26"/>
        </w:rPr>
        <w:t xml:space="preserve">a) Nộp hồ sơ TTHC: Sau khi xây dựng xong trung tâm sát hạch lái xe, tổ chức, cá nhân gửi văn bản đề nghị cấp giấy phép sát hạch đến Phòng Cảnh sát giao thông.  b) Giải quyết TTHC: - Trong thời gian không quá 03 ngày làm việc, kể từ ngày tiếp nhận hồ sơ, Phòng Cảnh sát giao thông kiểm tra tính đầy đủ của hồ sơ; trường hợp hồ sơ chưa đầy đủ thì Phòng Cảnh sát giao thông có văn bản hướng dẫn tổ chức, cá nhân hoàn thiện lại theo quy định; trong thời gian không quá 05 ngày làm việc kể từ ngày nhận đủ hồ sơ theo </w:t>
      </w:r>
      <w:r>
        <w:rPr>
          <w:rFonts w:ascii="Times New Roman" w:eastAsia="Times New Roman" w:hAnsi="Times New Roman" w:cs="Times New Roman"/>
          <w:sz w:val="26"/>
        </w:rPr>
        <w:t>quy định, Phòng Cảnh sát giao thông tổ chức kiểm tra, lập biên bản và cấp giấy phép sát hạch. Trường hợp không cấp, phải trả lời bằng văn bản và nêu rõ lý do. - Việc trả kết quả được thực hiện tại trụ sở Phòng Cảnh sát giao thông hoặc qua dịch vụ bưu chính.</w:t>
      </w:r>
    </w:p>
    <w:p w:rsidR="00754E03" w:rsidRDefault="00D613A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11"/>
        <w:gridCol w:w="1253"/>
        <w:gridCol w:w="1828"/>
        <w:gridCol w:w="5119"/>
      </w:tblGrid>
      <w:tr w:rsidR="00754E03">
        <w:tblPrEx>
          <w:tblCellMar>
            <w:top w:w="0" w:type="dxa"/>
            <w:bottom w:w="0" w:type="dxa"/>
          </w:tblCellMar>
        </w:tblPrEx>
        <w:tc>
          <w:tcPr>
            <w:tcW w:w="15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Hình thức nộp</w:t>
            </w:r>
          </w:p>
        </w:tc>
        <w:tc>
          <w:tcPr>
            <w:tcW w:w="2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Phí, lệ phí</w:t>
            </w:r>
          </w:p>
        </w:tc>
        <w:tc>
          <w:tcPr>
            <w:tcW w:w="3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Mô tả</w:t>
            </w:r>
          </w:p>
        </w:tc>
      </w:tr>
      <w:tr w:rsidR="00754E03">
        <w:tblPrEx>
          <w:tblCellMar>
            <w:top w:w="0" w:type="dxa"/>
            <w:bottom w:w="0" w:type="dxa"/>
          </w:tblCellMar>
        </w:tblPrEx>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Trực tiếp</w:t>
            </w: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05 Ngày làm việc</w:t>
            </w:r>
          </w:p>
        </w:tc>
        <w:tc>
          <w:tcPr>
            <w:tcW w:w="0" w:type="auto"/>
          </w:tcPr>
          <w:p w:rsidR="00754E03" w:rsidRDefault="00754E03"/>
          <w:p w:rsidR="00754E03" w:rsidRDefault="00754E03">
            <w:pPr>
              <w:spacing w:after="0" w:line="276" w:lineRule="auto"/>
            </w:pP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05 ngày làm việc kể từ ngày nhận đủ hồ sơ theo quy định.  Nộp trực tiếp hoặc qua dịch vụ bưu chính.</w:t>
            </w:r>
          </w:p>
        </w:tc>
      </w:tr>
      <w:tr w:rsidR="00754E03">
        <w:tblPrEx>
          <w:tblCellMar>
            <w:top w:w="0" w:type="dxa"/>
            <w:bottom w:w="0" w:type="dxa"/>
          </w:tblCellMar>
        </w:tblPrEx>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Dịch vụ bưu chính</w:t>
            </w: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05 Ngày làm việc</w:t>
            </w:r>
          </w:p>
        </w:tc>
        <w:tc>
          <w:tcPr>
            <w:tcW w:w="0" w:type="auto"/>
          </w:tcPr>
          <w:p w:rsidR="00754E03" w:rsidRDefault="00754E03"/>
          <w:p w:rsidR="00754E03" w:rsidRDefault="00754E03">
            <w:pPr>
              <w:spacing w:after="0" w:line="276" w:lineRule="auto"/>
            </w:pP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 xml:space="preserve">05 ngày làm việc kể từ ngày nhận đủ hồ sơ theo quy định.  </w:t>
            </w:r>
            <w:r>
              <w:rPr>
                <w:rFonts w:ascii="Times New Roman" w:eastAsia="Times New Roman" w:hAnsi="Times New Roman" w:cs="Times New Roman"/>
                <w:sz w:val="26"/>
              </w:rPr>
              <w:t>Nộp trực tiếp hoặc qua dịch vụ bưu chính.</w:t>
            </w:r>
          </w:p>
        </w:tc>
      </w:tr>
    </w:tbl>
    <w:p w:rsidR="00754E03" w:rsidRDefault="00D613A4">
      <w:pPr>
        <w:spacing w:before="240" w:after="0" w:line="276" w:lineRule="auto"/>
        <w:jc w:val="both"/>
      </w:pPr>
      <w:r>
        <w:rPr>
          <w:rFonts w:ascii="Times New Roman" w:eastAsia="Times New Roman" w:hAnsi="Times New Roman" w:cs="Times New Roman"/>
          <w:b/>
          <w:sz w:val="26"/>
        </w:rPr>
        <w:t xml:space="preserve">Thành phần hồ sơ: </w:t>
      </w:r>
    </w:p>
    <w:p w:rsidR="00754E03" w:rsidRDefault="00D613A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60"/>
        <w:gridCol w:w="1137"/>
        <w:gridCol w:w="1214"/>
      </w:tblGrid>
      <w:tr w:rsidR="00754E03">
        <w:tblPrEx>
          <w:tblCellMar>
            <w:top w:w="0" w:type="dxa"/>
            <w:bottom w:w="0" w:type="dxa"/>
          </w:tblCellMar>
        </w:tblPrEx>
        <w:tc>
          <w:tcPr>
            <w:tcW w:w="6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Tên giấy tờ</w:t>
            </w:r>
          </w:p>
        </w:tc>
        <w:tc>
          <w:tcPr>
            <w:tcW w:w="2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 xml:space="preserve">Mẫu đơn, </w:t>
            </w:r>
            <w:r>
              <w:rPr>
                <w:rFonts w:ascii="Times New Roman" w:eastAsia="Times New Roman" w:hAnsi="Times New Roman" w:cs="Times New Roman"/>
                <w:b/>
                <w:sz w:val="26"/>
              </w:rPr>
              <w:lastRenderedPageBreak/>
              <w:t>tờ khai</w:t>
            </w:r>
          </w:p>
        </w:tc>
        <w:tc>
          <w:tcPr>
            <w:tcW w:w="2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Số lượng</w:t>
            </w:r>
          </w:p>
        </w:tc>
      </w:tr>
      <w:tr w:rsidR="00754E03">
        <w:tblPrEx>
          <w:tblCellMar>
            <w:top w:w="0" w:type="dxa"/>
            <w:bottom w:w="0" w:type="dxa"/>
          </w:tblCellMar>
        </w:tblPrEx>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Văn bản đề nghị cấp giấy phép sát hạch (theo mẫu)</w:t>
            </w:r>
          </w:p>
        </w:tc>
        <w:tc>
          <w:tcPr>
            <w:tcW w:w="0" w:type="auto"/>
          </w:tcPr>
          <w:p w:rsidR="00754E03" w:rsidRDefault="00754E03"/>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54E03">
        <w:tblPrEx>
          <w:tblCellMar>
            <w:top w:w="0" w:type="dxa"/>
            <w:bottom w:w="0" w:type="dxa"/>
          </w:tblCellMar>
        </w:tblPrEx>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Giấy phép xây dựng (bản sao kèm bản chính hoặc bản sao có chứng thực hoặc bản sao điện tử được chứng thực từ bản chính hoặc bản sao điện tử từ sổ gốc)</w:t>
            </w:r>
          </w:p>
        </w:tc>
        <w:tc>
          <w:tcPr>
            <w:tcW w:w="0" w:type="auto"/>
          </w:tcPr>
          <w:p w:rsidR="00754E03" w:rsidRDefault="00754E03"/>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54E03">
        <w:tblPrEx>
          <w:tblCellMar>
            <w:top w:w="0" w:type="dxa"/>
            <w:bottom w:w="0" w:type="dxa"/>
          </w:tblCellMar>
        </w:tblPrEx>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Bản sao có chứng thực giấy phép xây dựng, bản vẽ bố trí mặt bằng tổng thể, hồ sơ thiết kế kích thước hình sát hạch, loại xe cơ giới dùng để sát hạch.</w:t>
            </w:r>
          </w:p>
        </w:tc>
        <w:tc>
          <w:tcPr>
            <w:tcW w:w="0" w:type="auto"/>
          </w:tcPr>
          <w:p w:rsidR="00754E03" w:rsidRDefault="00754E03"/>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54E03" w:rsidRDefault="00D613A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754E03" w:rsidRDefault="00D613A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754E03" w:rsidRDefault="00D613A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754E03" w:rsidRDefault="00D613A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54E03" w:rsidRDefault="00D613A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54E03" w:rsidRDefault="00D613A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54E03" w:rsidRDefault="00D613A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sát hạch</w:t>
      </w:r>
    </w:p>
    <w:p w:rsidR="00754E03" w:rsidRDefault="00D613A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754E03">
        <w:tblPrEx>
          <w:tblCellMar>
            <w:top w:w="0" w:type="dxa"/>
            <w:bottom w:w="0" w:type="dxa"/>
          </w:tblCellMar>
        </w:tblPrEx>
        <w:tc>
          <w:tcPr>
            <w:tcW w:w="2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Số ký hiệu</w:t>
            </w:r>
          </w:p>
        </w:tc>
        <w:tc>
          <w:tcPr>
            <w:tcW w:w="35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Trích yếu</w:t>
            </w:r>
          </w:p>
        </w:tc>
        <w:tc>
          <w:tcPr>
            <w:tcW w:w="15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Ngày ban hành</w:t>
            </w:r>
          </w:p>
        </w:tc>
        <w:tc>
          <w:tcPr>
            <w:tcW w:w="3000" w:type="dxa"/>
          </w:tcPr>
          <w:p w:rsidR="00754E03" w:rsidRDefault="00754E03"/>
          <w:p w:rsidR="00754E03" w:rsidRDefault="00D613A4">
            <w:pPr>
              <w:spacing w:after="0" w:line="276" w:lineRule="auto"/>
              <w:jc w:val="center"/>
            </w:pPr>
            <w:r>
              <w:rPr>
                <w:rFonts w:ascii="Times New Roman" w:eastAsia="Times New Roman" w:hAnsi="Times New Roman" w:cs="Times New Roman"/>
                <w:b/>
                <w:sz w:val="26"/>
              </w:rPr>
              <w:t>Cơ quan ban hành</w:t>
            </w:r>
          </w:p>
        </w:tc>
      </w:tr>
      <w:tr w:rsidR="00754E03">
        <w:tblPrEx>
          <w:tblCellMar>
            <w:top w:w="0" w:type="dxa"/>
            <w:bottom w:w="0" w:type="dxa"/>
          </w:tblCellMar>
        </w:tblPrEx>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160/2024/NĐ-CP</w:t>
            </w: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18-12-2024</w:t>
            </w:r>
          </w:p>
        </w:tc>
        <w:tc>
          <w:tcPr>
            <w:tcW w:w="0" w:type="auto"/>
          </w:tcPr>
          <w:p w:rsidR="00754E03" w:rsidRDefault="00754E03"/>
          <w:p w:rsidR="00754E03" w:rsidRDefault="00D613A4">
            <w:pPr>
              <w:spacing w:after="0" w:line="276" w:lineRule="auto"/>
            </w:pPr>
            <w:r>
              <w:rPr>
                <w:rFonts w:ascii="Times New Roman" w:eastAsia="Times New Roman" w:hAnsi="Times New Roman" w:cs="Times New Roman"/>
                <w:sz w:val="26"/>
              </w:rPr>
              <w:t>Chính phủ</w:t>
            </w:r>
          </w:p>
        </w:tc>
      </w:tr>
    </w:tbl>
    <w:p w:rsidR="00754E03" w:rsidRDefault="00D613A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Đáp ứng đủ các điều kiện quy định tại Điều 23, Điều 24, và Điều 25 của Nghị định số 160/2024/NĐ-CP ngày 18/12/2024 của Chính phủ quy định về hoạt động đào tạo và sát hạch lái xe.</w:t>
      </w:r>
    </w:p>
    <w:p w:rsidR="00754E03" w:rsidRDefault="00D613A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54E03" w:rsidRDefault="00D613A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https://thutuc.dichvucong.gov.vn/p/home/dvc-tthc-thu-tuc-hanh-chinh-chi-tiet.html?ma_thu_tuc=372411</w:t>
      </w:r>
    </w:p>
    <w:sectPr w:rsidR="00754E0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4E03"/>
    <w:rsid w:val="003B75BA"/>
    <w:rsid w:val="00754E03"/>
    <w:rsid w:val="00D61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A7D2D2-E76E-4EB4-9E19-22765776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2025-11-24T09:11:00Z</dcterms:created>
  <dcterms:modified xsi:type="dcterms:W3CDTF">2025-11-24T09:11:00Z</dcterms:modified>
</cp:coreProperties>
</file>