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C45" w:rsidRDefault="00362297">
      <w:pPr>
        <w:spacing w:after="300" w:line="276" w:lineRule="auto"/>
        <w:jc w:val="center"/>
      </w:pPr>
      <w:r>
        <w:rPr>
          <w:rFonts w:ascii="Times New Roman" w:eastAsia="Times New Roman" w:hAnsi="Times New Roman" w:cs="Times New Roman"/>
          <w:b/>
          <w:sz w:val="26"/>
        </w:rPr>
        <w:t>Chi tiết thủ tục hành chính</w:t>
      </w:r>
    </w:p>
    <w:p w:rsidR="009D0C45" w:rsidRDefault="0036229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3.000364</w:t>
      </w:r>
    </w:p>
    <w:p w:rsidR="009D0C45" w:rsidRDefault="0036229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9D0C45" w:rsidRDefault="0036229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hoạt động đối với cơ sở cai nghiện ma túy tự nguyện</w:t>
      </w:r>
    </w:p>
    <w:p w:rsidR="009D0C45" w:rsidRDefault="0036229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D0C45" w:rsidRDefault="0036229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D0C45" w:rsidRDefault="0036229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rsidR="009D0C45" w:rsidRDefault="00362297">
      <w:pPr>
        <w:spacing w:after="0" w:line="276" w:lineRule="auto"/>
        <w:jc w:val="both"/>
      </w:pPr>
      <w:r>
        <w:rPr>
          <w:rFonts w:ascii="Times New Roman" w:eastAsia="Times New Roman" w:hAnsi="Times New Roman" w:cs="Times New Roman"/>
          <w:b/>
          <w:sz w:val="26"/>
        </w:rPr>
        <w:t xml:space="preserve">Trình tự thực hiện: </w:t>
      </w:r>
    </w:p>
    <w:p w:rsidR="009D0C45" w:rsidRDefault="009D0C45">
      <w:pPr>
        <w:shd w:val="clear" w:color="auto" w:fill="F2F6F9"/>
        <w:spacing w:before="120" w:after="0" w:line="276" w:lineRule="auto"/>
        <w:jc w:val="both"/>
      </w:pPr>
    </w:p>
    <w:p w:rsidR="009D0C45" w:rsidRDefault="00362297">
      <w:pPr>
        <w:spacing w:after="0" w:line="276" w:lineRule="auto"/>
        <w:jc w:val="both"/>
      </w:pPr>
      <w:r>
        <w:rPr>
          <w:rFonts w:ascii="Times New Roman" w:eastAsia="Times New Roman" w:hAnsi="Times New Roman" w:cs="Times New Roman"/>
          <w:sz w:val="26"/>
        </w:rPr>
        <w:t xml:space="preserve">a) Nộp hồ sơ TTHC:  - Cơ sở cai nghiện ma túy tự nguyện nộp hồ sơ đề nghị cấp phép hoạt động đến phòng Cảnh sát điều tra tội phạm về ma túy.  - Trường hợp gửi hồ sơ theo phương thức điện tử, cơ sở cai nghiện có trách nhiệm lưu giữ toàn bộ bản gốc của hồ sơ và chịu trách nhiệm trước pháp luật về tính chính xác, trung thực của hồ sơ. b) Giải quyết TTHC:  - Trong thời hạn 15 ngày làm việc, kể từ ngày nhận đủ hồ sơ hợp lệ, phòng Cảnh sát điều tra tội phạm về ma túy có trách nhiệm báo cáo, tham mưu cho Giám đốc </w:t>
      </w:r>
      <w:r>
        <w:rPr>
          <w:rFonts w:ascii="Times New Roman" w:eastAsia="Times New Roman" w:hAnsi="Times New Roman" w:cs="Times New Roman"/>
          <w:sz w:val="26"/>
        </w:rPr>
        <w:t>Công an cấp tỉnh tổ chức thẩm định hồ sơ, các điều kiện hoạt động và quyết định cấp giấy phép hoạt động cai nghiện ma túy. - Trường hợp không cấp giấy phép phải trả lời bằng văn bản và nêu rõ lý do.</w:t>
      </w:r>
    </w:p>
    <w:p w:rsidR="009D0C45" w:rsidRDefault="0036229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0"/>
        <w:gridCol w:w="943"/>
        <w:gridCol w:w="1135"/>
        <w:gridCol w:w="6433"/>
      </w:tblGrid>
      <w:tr w:rsidR="009D0C45">
        <w:tblPrEx>
          <w:tblCellMar>
            <w:top w:w="0" w:type="dxa"/>
            <w:bottom w:w="0" w:type="dxa"/>
          </w:tblCellMar>
        </w:tblPrEx>
        <w:tc>
          <w:tcPr>
            <w:tcW w:w="15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Hình thức nộp</w:t>
            </w:r>
          </w:p>
        </w:tc>
        <w:tc>
          <w:tcPr>
            <w:tcW w:w="20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Phí, lệ phí</w:t>
            </w:r>
          </w:p>
        </w:tc>
        <w:tc>
          <w:tcPr>
            <w:tcW w:w="30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Mô tả</w:t>
            </w:r>
          </w:p>
        </w:tc>
      </w:tr>
      <w:tr w:rsidR="009D0C45">
        <w:tblPrEx>
          <w:tblCellMar>
            <w:top w:w="0" w:type="dxa"/>
            <w:bottom w:w="0" w:type="dxa"/>
          </w:tblCellMar>
        </w:tblPrEx>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Trực tiếp</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15 Ngày làm việc</w:t>
            </w:r>
          </w:p>
        </w:tc>
        <w:tc>
          <w:tcPr>
            <w:tcW w:w="0" w:type="auto"/>
          </w:tcPr>
          <w:p w:rsidR="009D0C45" w:rsidRDefault="009D0C45"/>
          <w:p w:rsidR="009D0C45" w:rsidRDefault="009D0C45">
            <w:pPr>
              <w:spacing w:after="0" w:line="276" w:lineRule="auto"/>
            </w:pP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 Cơ sở cai nghiện ma túy tự nguyện nộp trực tiếp, dịch vụ bưu chính hoặc phương thức điện tử - Phòng Cảnh sát điều tra tội phạm về ma túy gửi kết quả hoặc trả lời bằng một trong các hình thức: trực tiếp, dịch vụ bưu chính hoặc phương thức điện tử.</w:t>
            </w:r>
          </w:p>
        </w:tc>
      </w:tr>
      <w:tr w:rsidR="009D0C45">
        <w:tblPrEx>
          <w:tblCellMar>
            <w:top w:w="0" w:type="dxa"/>
            <w:bottom w:w="0" w:type="dxa"/>
          </w:tblCellMar>
        </w:tblPrEx>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Trực tuyến</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15 Ngày làm việc</w:t>
            </w:r>
          </w:p>
        </w:tc>
        <w:tc>
          <w:tcPr>
            <w:tcW w:w="0" w:type="auto"/>
          </w:tcPr>
          <w:p w:rsidR="009D0C45" w:rsidRDefault="009D0C45"/>
          <w:p w:rsidR="009D0C45" w:rsidRDefault="009D0C45">
            <w:pPr>
              <w:spacing w:after="0" w:line="276" w:lineRule="auto"/>
            </w:pP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 Cơ sở cai nghiện ma túy tự nguyện nộp trực tiếp, dịch vụ bưu chính hoặc phương thức điện tử - Phòng Cảnh sát điều tra tội phạm về ma túy gửi kết quả hoặc trả lời bằng một trong các hình thức: trực tiếp, dịch vụ bưu chính hoặc phương thức điện tử.</w:t>
            </w:r>
          </w:p>
        </w:tc>
      </w:tr>
      <w:tr w:rsidR="009D0C45">
        <w:tblPrEx>
          <w:tblCellMar>
            <w:top w:w="0" w:type="dxa"/>
            <w:bottom w:w="0" w:type="dxa"/>
          </w:tblCellMar>
        </w:tblPrEx>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Dịch vụ bưu chính</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15 Ngày làm việc</w:t>
            </w:r>
          </w:p>
        </w:tc>
        <w:tc>
          <w:tcPr>
            <w:tcW w:w="0" w:type="auto"/>
          </w:tcPr>
          <w:p w:rsidR="009D0C45" w:rsidRDefault="009D0C45"/>
          <w:p w:rsidR="009D0C45" w:rsidRDefault="009D0C45">
            <w:pPr>
              <w:spacing w:after="0" w:line="276" w:lineRule="auto"/>
            </w:pP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 Cơ sở cai nghiện ma túy tự nguyện nộp trực tiếp, dịch vụ bưu chính hoặc phương thức điện tử - Phòng Cảnh sát điều tra tội phạm về ma túy gửi kết quả hoặc trả lời bằng một trong các hình thức: trực tiếp, dịch vụ bưu chính hoặc phương thức điện tử.</w:t>
            </w:r>
          </w:p>
        </w:tc>
      </w:tr>
    </w:tbl>
    <w:p w:rsidR="009D0C45" w:rsidRDefault="00362297">
      <w:pPr>
        <w:spacing w:before="240" w:after="0" w:line="276" w:lineRule="auto"/>
        <w:jc w:val="both"/>
      </w:pPr>
      <w:r>
        <w:rPr>
          <w:rFonts w:ascii="Times New Roman" w:eastAsia="Times New Roman" w:hAnsi="Times New Roman" w:cs="Times New Roman"/>
          <w:b/>
          <w:sz w:val="26"/>
        </w:rPr>
        <w:t xml:space="preserve">Thành phần hồ sơ: </w:t>
      </w:r>
    </w:p>
    <w:p w:rsidR="009D0C45" w:rsidRDefault="0036229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w:t>
      </w:r>
    </w:p>
    <w:p w:rsidR="009D0C45" w:rsidRDefault="0036229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9D0C45" w:rsidRDefault="0036229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9D0C45" w:rsidRDefault="0036229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D0C45" w:rsidRDefault="0036229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D0C45" w:rsidRDefault="0036229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D0C45" w:rsidRDefault="0036229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w:t>
      </w:r>
    </w:p>
    <w:p w:rsidR="009D0C45" w:rsidRDefault="0036229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9"/>
        <w:gridCol w:w="5749"/>
        <w:gridCol w:w="812"/>
        <w:gridCol w:w="1211"/>
      </w:tblGrid>
      <w:tr w:rsidR="009D0C45">
        <w:tblPrEx>
          <w:tblCellMar>
            <w:top w:w="0" w:type="dxa"/>
            <w:bottom w:w="0" w:type="dxa"/>
          </w:tblCellMar>
        </w:tblPrEx>
        <w:tc>
          <w:tcPr>
            <w:tcW w:w="20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Số ký hiệu</w:t>
            </w:r>
          </w:p>
        </w:tc>
        <w:tc>
          <w:tcPr>
            <w:tcW w:w="35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Trích yếu</w:t>
            </w:r>
          </w:p>
        </w:tc>
        <w:tc>
          <w:tcPr>
            <w:tcW w:w="15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Ngày ban hành</w:t>
            </w:r>
          </w:p>
        </w:tc>
        <w:tc>
          <w:tcPr>
            <w:tcW w:w="3000" w:type="dxa"/>
          </w:tcPr>
          <w:p w:rsidR="009D0C45" w:rsidRDefault="009D0C45"/>
          <w:p w:rsidR="009D0C45" w:rsidRDefault="00362297">
            <w:pPr>
              <w:spacing w:after="0" w:line="276" w:lineRule="auto"/>
              <w:jc w:val="center"/>
            </w:pPr>
            <w:r>
              <w:rPr>
                <w:rFonts w:ascii="Times New Roman" w:eastAsia="Times New Roman" w:hAnsi="Times New Roman" w:cs="Times New Roman"/>
                <w:b/>
                <w:sz w:val="26"/>
              </w:rPr>
              <w:t>Cơ quan ban hành</w:t>
            </w:r>
          </w:p>
        </w:tc>
      </w:tr>
      <w:tr w:rsidR="009D0C45">
        <w:tblPrEx>
          <w:tblCellMar>
            <w:top w:w="0" w:type="dxa"/>
            <w:bottom w:w="0" w:type="dxa"/>
          </w:tblCellMar>
        </w:tblPrEx>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116/2021/NĐ-CP</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21-12-2021</w:t>
            </w:r>
          </w:p>
        </w:tc>
        <w:tc>
          <w:tcPr>
            <w:tcW w:w="0" w:type="auto"/>
          </w:tcPr>
          <w:p w:rsidR="009D0C45" w:rsidRDefault="009D0C45"/>
          <w:p w:rsidR="009D0C45" w:rsidRDefault="00362297">
            <w:pPr>
              <w:spacing w:after="0" w:line="276" w:lineRule="auto"/>
            </w:pPr>
            <w:r>
              <w:rPr>
                <w:rFonts w:ascii="Times New Roman" w:eastAsia="Times New Roman" w:hAnsi="Times New Roman" w:cs="Times New Roman"/>
                <w:sz w:val="26"/>
              </w:rPr>
              <w:t>Chính phủ</w:t>
            </w:r>
          </w:p>
        </w:tc>
      </w:tr>
    </w:tbl>
    <w:p w:rsidR="009D0C45" w:rsidRDefault="0036229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được cấp giấy phép hoạt động cai nghiện ma túy tự nguyện (sau đây gọi tắt là cơ sở cai nghiện) khi có đủ các điều kiện sau: -  Được thành lập, tổ chức, hoạt động theo quy định của pháp luật. - Có cơ sở vật chất đáp ứng yêu cầu của hoạt động cai nghiện ma túy theo quy định tại Khoản 1, 2, 4 Điều 6 Nghị định 116 và điểm e Khoản 3 Điều 36 Luật Phòng, chống ma túy. Trường hợp thuê cơ sở vật chất thì thời hạn thuê phải còn ít nhất 02 năm kể từ thời điểm nộp hồ sơ đề nghị cấp giấy phép hoạt động. - Có trang</w:t>
      </w:r>
      <w:r>
        <w:rPr>
          <w:rFonts w:ascii="Times New Roman" w:eastAsia="Times New Roman" w:hAnsi="Times New Roman" w:cs="Times New Roman"/>
          <w:sz w:val="26"/>
        </w:rPr>
        <w:t xml:space="preserve"> thiết bị, phương tiện tối thiểu theo danh mục quy định tại Phụ lục I kèm theo Nghị định 116. - Nhân sự làm việc tại cơ sở cai nghiện phải bảo đảm điều kiện, tiêu chuẩn theo quy định tại Khoản 1 Điều 8 Nghị định 116. Người đứng đầu hoặc người đại diện theo pháp luật của cơ sở cai nghiện phải có trình độ từ đại học trở lên, đã được đào tạo, tập huấn về điều trị, cai nghiện ma túy hoặc có thời gian làm công tác cai nghiện, </w:t>
      </w:r>
      <w:r>
        <w:rPr>
          <w:rFonts w:ascii="Times New Roman" w:eastAsia="Times New Roman" w:hAnsi="Times New Roman" w:cs="Times New Roman"/>
          <w:sz w:val="26"/>
        </w:rPr>
        <w:lastRenderedPageBreak/>
        <w:t>điều trị nghiện ma túy tại cơ sở cai nghiện từ 02 năm trở lên. - Có phương án tài chính</w:t>
      </w:r>
      <w:r>
        <w:rPr>
          <w:rFonts w:ascii="Times New Roman" w:eastAsia="Times New Roman" w:hAnsi="Times New Roman" w:cs="Times New Roman"/>
          <w:sz w:val="26"/>
        </w:rPr>
        <w:t xml:space="preserve"> bảo đảm duy trì các hoạt động cai nghiện ma túy của cơ sở cai nghiện.</w:t>
      </w:r>
    </w:p>
    <w:p w:rsidR="009D0C45" w:rsidRDefault="0036229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D0C45" w:rsidRDefault="0036229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https://thutuc.dichvucong.gov.vn/p/home/dvc-tthc-thu-tuc-hanh-chinh-chi-tiet.html?ma_thu_tuc=372409</w:t>
      </w:r>
    </w:p>
    <w:sectPr w:rsidR="009D0C4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0C45"/>
    <w:rsid w:val="00362297"/>
    <w:rsid w:val="0041621A"/>
    <w:rsid w:val="009D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FB13A9-0AC4-43EF-87F6-45330EF9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2025-11-24T09:11:00Z</dcterms:created>
  <dcterms:modified xsi:type="dcterms:W3CDTF">2025-11-24T09:11:00Z</dcterms:modified>
</cp:coreProperties>
</file>