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5E8A" w:rsidRDefault="00B31AB6">
      <w:pPr>
        <w:spacing w:after="300" w:line="276" w:lineRule="auto"/>
        <w:jc w:val="center"/>
      </w:pPr>
      <w:r>
        <w:rPr>
          <w:rFonts w:ascii="Times New Roman" w:eastAsia="Times New Roman" w:hAnsi="Times New Roman" w:cs="Times New Roman"/>
          <w:b/>
          <w:sz w:val="26"/>
        </w:rPr>
        <w:t>Chi tiết thủ tục hành chính</w:t>
      </w:r>
    </w:p>
    <w:p w:rsidR="00A05E8A" w:rsidRDefault="00B31AB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3.000367</w:t>
      </w:r>
    </w:p>
    <w:p w:rsidR="00A05E8A" w:rsidRDefault="00B31AB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A05E8A" w:rsidRDefault="00B31AB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Đình chỉ hoạt động cai nghiện ma túy tự nguyện có thời hạn đối với cơ sở cai nghiện ma túy tự nguyện</w:t>
      </w:r>
    </w:p>
    <w:p w:rsidR="00A05E8A" w:rsidRDefault="00B31AB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A05E8A" w:rsidRDefault="00B31AB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A05E8A" w:rsidRDefault="00B31AB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rsidR="00A05E8A" w:rsidRDefault="00B31AB6">
      <w:pPr>
        <w:spacing w:after="0" w:line="276" w:lineRule="auto"/>
        <w:jc w:val="both"/>
      </w:pPr>
      <w:r>
        <w:rPr>
          <w:rFonts w:ascii="Times New Roman" w:eastAsia="Times New Roman" w:hAnsi="Times New Roman" w:cs="Times New Roman"/>
          <w:b/>
          <w:sz w:val="26"/>
        </w:rPr>
        <w:t xml:space="preserve">Trình tự thực hiện: </w:t>
      </w:r>
    </w:p>
    <w:p w:rsidR="00A05E8A" w:rsidRDefault="00A05E8A">
      <w:pPr>
        <w:shd w:val="clear" w:color="auto" w:fill="F2F6F9"/>
        <w:spacing w:before="120" w:after="0" w:line="276" w:lineRule="auto"/>
        <w:jc w:val="both"/>
      </w:pPr>
    </w:p>
    <w:p w:rsidR="00A05E8A" w:rsidRDefault="00B31AB6">
      <w:pPr>
        <w:spacing w:after="0" w:line="276" w:lineRule="auto"/>
        <w:jc w:val="both"/>
      </w:pPr>
      <w:r>
        <w:rPr>
          <w:rFonts w:ascii="Times New Roman" w:eastAsia="Times New Roman" w:hAnsi="Times New Roman" w:cs="Times New Roman"/>
          <w:sz w:val="26"/>
        </w:rPr>
        <w:t>a) Nộp hồ sơ TTHC: Cơ sở cai nghiện ma túy tự nguyện nộp lại giấy phép hoạt động cai nghiện ma túy cho phòng Cảnh sát điều tra tội phạm về ma túy sau khi nhận được quyết định thu hồi giấy phép hoạt động cai nghiện ma túy của Giám đốc Công an cấp tỉnh.  b) Giải quyết TTHC:  a) Trong thời hạn 05 ngày làm việc kể từ ngày phát hiện có hành vi vi phạm theo quy định tại Khoản 1 Điều 13 Nghị định 116, phòng Cảnh sát điều tra tội phạm về ma túy lập biên bản vi phạm và tham mưu cho Giám đốc Công an cấp tỉnh xem xét,</w:t>
      </w:r>
      <w:r>
        <w:rPr>
          <w:rFonts w:ascii="Times New Roman" w:eastAsia="Times New Roman" w:hAnsi="Times New Roman" w:cs="Times New Roman"/>
          <w:sz w:val="26"/>
        </w:rPr>
        <w:t xml:space="preserve"> quyết định đình chỉ hoạt động cai nghiện ma túy tự nguyện theo Mẫu số 10 Phụ lục II Nghị định 116; b) Cơ sở cai nghiện ma túy có trách nhiệm hoàn trả chi phí cai nghiện và giải quyết các quyền, lợi ích hợp pháp khác của người cai nghiện theo hợp đồng dịch vụ cai nghiện khi bị đình chỉ hoạt động.</w:t>
      </w:r>
    </w:p>
    <w:p w:rsidR="00A05E8A" w:rsidRDefault="00B31AB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
        <w:gridCol w:w="902"/>
        <w:gridCol w:w="1043"/>
        <w:gridCol w:w="6707"/>
      </w:tblGrid>
      <w:tr w:rsidR="00A05E8A">
        <w:tblPrEx>
          <w:tblCellMar>
            <w:top w:w="0" w:type="dxa"/>
            <w:bottom w:w="0" w:type="dxa"/>
          </w:tblCellMar>
        </w:tblPrEx>
        <w:tc>
          <w:tcPr>
            <w:tcW w:w="15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Hình thức nộp</w:t>
            </w:r>
          </w:p>
        </w:tc>
        <w:tc>
          <w:tcPr>
            <w:tcW w:w="20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Phí, lệ phí</w:t>
            </w:r>
          </w:p>
        </w:tc>
        <w:tc>
          <w:tcPr>
            <w:tcW w:w="30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Mô tả</w:t>
            </w:r>
          </w:p>
        </w:tc>
      </w:tr>
      <w:tr w:rsidR="00A05E8A">
        <w:tblPrEx>
          <w:tblCellMar>
            <w:top w:w="0" w:type="dxa"/>
            <w:bottom w:w="0" w:type="dxa"/>
          </w:tblCellMar>
        </w:tblPrEx>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Trực tiếp</w:t>
            </w:r>
          </w:p>
        </w:tc>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05 Ngày làm việc</w:t>
            </w:r>
          </w:p>
        </w:tc>
        <w:tc>
          <w:tcPr>
            <w:tcW w:w="0" w:type="auto"/>
          </w:tcPr>
          <w:p w:rsidR="00A05E8A" w:rsidRDefault="00A05E8A"/>
          <w:p w:rsidR="00A05E8A" w:rsidRDefault="00A05E8A">
            <w:pPr>
              <w:spacing w:after="0" w:line="276" w:lineRule="auto"/>
            </w:pPr>
          </w:p>
        </w:tc>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Qua công tác kiểm tra, nắm tình hình hoạt động các Cơ sở cai nghiện.  Trong thời hạn 05 ngày làm việc kể từ ngày phát hiện có hành vi vi phạm theo quy định tại Khoản 1 Điều 13 Nghị định 116, phòng Cảnh sát điều tra tội phạm về ma túy lập biên bản vi phạm và tham mưu cho Giám đốc Công an cấp tỉnh xem xét, quyết định đình chỉ hoạt động cai nghiện ma túy tự nguyện</w:t>
            </w:r>
          </w:p>
        </w:tc>
      </w:tr>
    </w:tbl>
    <w:p w:rsidR="00A05E8A" w:rsidRDefault="00B31AB6">
      <w:pPr>
        <w:spacing w:before="240" w:after="0" w:line="276" w:lineRule="auto"/>
        <w:jc w:val="both"/>
      </w:pPr>
      <w:r>
        <w:rPr>
          <w:rFonts w:ascii="Times New Roman" w:eastAsia="Times New Roman" w:hAnsi="Times New Roman" w:cs="Times New Roman"/>
          <w:b/>
          <w:sz w:val="26"/>
        </w:rPr>
        <w:t xml:space="preserve">Thành phần hồ sơ: </w:t>
      </w:r>
    </w:p>
    <w:p w:rsidR="00A05E8A" w:rsidRDefault="00B31AB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15"/>
        <w:gridCol w:w="1893"/>
        <w:gridCol w:w="1903"/>
      </w:tblGrid>
      <w:tr w:rsidR="00A05E8A">
        <w:tblPrEx>
          <w:tblCellMar>
            <w:top w:w="0" w:type="dxa"/>
            <w:bottom w:w="0" w:type="dxa"/>
          </w:tblCellMar>
        </w:tblPrEx>
        <w:tc>
          <w:tcPr>
            <w:tcW w:w="60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Tên giấy tờ</w:t>
            </w:r>
          </w:p>
        </w:tc>
        <w:tc>
          <w:tcPr>
            <w:tcW w:w="20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Mẫu đơn, tờ khai</w:t>
            </w:r>
          </w:p>
        </w:tc>
        <w:tc>
          <w:tcPr>
            <w:tcW w:w="20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Số lượng</w:t>
            </w:r>
          </w:p>
        </w:tc>
      </w:tr>
      <w:tr w:rsidR="00A05E8A">
        <w:tblPrEx>
          <w:tblCellMar>
            <w:top w:w="0" w:type="dxa"/>
            <w:bottom w:w="0" w:type="dxa"/>
          </w:tblCellMar>
        </w:tblPrEx>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Biên bản vi phạm</w:t>
            </w:r>
          </w:p>
        </w:tc>
        <w:tc>
          <w:tcPr>
            <w:tcW w:w="0" w:type="auto"/>
          </w:tcPr>
          <w:p w:rsidR="00A05E8A" w:rsidRDefault="00A05E8A"/>
        </w:tc>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05E8A">
        <w:tblPrEx>
          <w:tblCellMar>
            <w:top w:w="0" w:type="dxa"/>
            <w:bottom w:w="0" w:type="dxa"/>
          </w:tblCellMar>
        </w:tblPrEx>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Giấy phép hoạt động cai nghiện ma túy đã được cấp</w:t>
            </w:r>
          </w:p>
        </w:tc>
        <w:tc>
          <w:tcPr>
            <w:tcW w:w="0" w:type="auto"/>
          </w:tcPr>
          <w:p w:rsidR="00A05E8A" w:rsidRDefault="00A05E8A"/>
        </w:tc>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05E8A" w:rsidRDefault="00B31AB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 Doanh nghiệp có vốn đầu tư nước ngoài, Tổ chức (không bao gồm doanh nghiệp, HTX)</w:t>
      </w:r>
    </w:p>
    <w:p w:rsidR="00A05E8A" w:rsidRDefault="00B31AB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A05E8A" w:rsidRDefault="00B31AB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A05E8A" w:rsidRDefault="00B31AB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05E8A" w:rsidRDefault="00B31AB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05E8A" w:rsidRDefault="00B31AB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05E8A" w:rsidRDefault="00B31AB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Đình chỉ hoạt động của cơ sở cai nghiện ma túy tự nguyện</w:t>
      </w:r>
    </w:p>
    <w:p w:rsidR="00A05E8A" w:rsidRDefault="00B31AB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39"/>
        <w:gridCol w:w="5749"/>
        <w:gridCol w:w="812"/>
        <w:gridCol w:w="1211"/>
      </w:tblGrid>
      <w:tr w:rsidR="00A05E8A">
        <w:tblPrEx>
          <w:tblCellMar>
            <w:top w:w="0" w:type="dxa"/>
            <w:bottom w:w="0" w:type="dxa"/>
          </w:tblCellMar>
        </w:tblPrEx>
        <w:tc>
          <w:tcPr>
            <w:tcW w:w="20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Số ký hiệu</w:t>
            </w:r>
          </w:p>
        </w:tc>
        <w:tc>
          <w:tcPr>
            <w:tcW w:w="35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Trích yếu</w:t>
            </w:r>
          </w:p>
        </w:tc>
        <w:tc>
          <w:tcPr>
            <w:tcW w:w="15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Ngày ban hành</w:t>
            </w:r>
          </w:p>
        </w:tc>
        <w:tc>
          <w:tcPr>
            <w:tcW w:w="3000" w:type="dxa"/>
          </w:tcPr>
          <w:p w:rsidR="00A05E8A" w:rsidRDefault="00A05E8A"/>
          <w:p w:rsidR="00A05E8A" w:rsidRDefault="00B31AB6">
            <w:pPr>
              <w:spacing w:after="0" w:line="276" w:lineRule="auto"/>
              <w:jc w:val="center"/>
            </w:pPr>
            <w:r>
              <w:rPr>
                <w:rFonts w:ascii="Times New Roman" w:eastAsia="Times New Roman" w:hAnsi="Times New Roman" w:cs="Times New Roman"/>
                <w:b/>
                <w:sz w:val="26"/>
              </w:rPr>
              <w:t>Cơ quan ban hành</w:t>
            </w:r>
          </w:p>
        </w:tc>
      </w:tr>
      <w:tr w:rsidR="00A05E8A">
        <w:tblPrEx>
          <w:tblCellMar>
            <w:top w:w="0" w:type="dxa"/>
            <w:bottom w:w="0" w:type="dxa"/>
          </w:tblCellMar>
        </w:tblPrEx>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116/2021/NĐ-CP</w:t>
            </w:r>
          </w:p>
        </w:tc>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21-12-2021</w:t>
            </w:r>
          </w:p>
        </w:tc>
        <w:tc>
          <w:tcPr>
            <w:tcW w:w="0" w:type="auto"/>
          </w:tcPr>
          <w:p w:rsidR="00A05E8A" w:rsidRDefault="00A05E8A"/>
          <w:p w:rsidR="00A05E8A" w:rsidRDefault="00B31AB6">
            <w:pPr>
              <w:spacing w:after="0" w:line="276" w:lineRule="auto"/>
            </w:pPr>
            <w:r>
              <w:rPr>
                <w:rFonts w:ascii="Times New Roman" w:eastAsia="Times New Roman" w:hAnsi="Times New Roman" w:cs="Times New Roman"/>
                <w:sz w:val="26"/>
              </w:rPr>
              <w:t>Chính phủ</w:t>
            </w:r>
          </w:p>
        </w:tc>
      </w:tr>
    </w:tbl>
    <w:p w:rsidR="00A05E8A" w:rsidRDefault="00B31AB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cai nghiện ma túy tự nguyện bị đình chỉ hoạt động cai nghiện có thời hạn trong các trường hợp sau: a) Không đảm bảo các điều kiện hoạt động theo quy định tại Điều 9 của Nghị định 116; b) Không thực hiện cung cấp dịch vụ sau 03 tháng kể từ ngày được cấp giấy phép hoạt động; c) Có hành vi vi phạm các quy định của pháp luật về cai nghiện ma túy; d) Các trường hợp khác theo quy định của pháp luật.</w:t>
      </w:r>
    </w:p>
    <w:p w:rsidR="00A05E8A" w:rsidRDefault="00B31AB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05E8A" w:rsidRDefault="00B31AB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https://thutuc.dichvucong.gov.vn/p/home/dvc-tthc-thu-tuc-hanh-chinh-chi-tiet.html?ma_thu_tuc=372415</w:t>
      </w:r>
    </w:p>
    <w:sectPr w:rsidR="00A05E8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05E8A"/>
    <w:rsid w:val="008156C9"/>
    <w:rsid w:val="00A05E8A"/>
    <w:rsid w:val="00B31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3D0091-0CD9-433B-935E-590323E6D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2025-11-24T09:12:00Z</dcterms:created>
  <dcterms:modified xsi:type="dcterms:W3CDTF">2025-11-24T09:12:00Z</dcterms:modified>
</cp:coreProperties>
</file>