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78E0" w:rsidRDefault="00CD2E69">
      <w:pPr>
        <w:spacing w:after="300" w:line="276" w:lineRule="auto"/>
        <w:jc w:val="center"/>
      </w:pPr>
      <w:r>
        <w:rPr>
          <w:rFonts w:ascii="Times New Roman" w:eastAsia="Times New Roman" w:hAnsi="Times New Roman" w:cs="Times New Roman"/>
          <w:b/>
          <w:sz w:val="26"/>
        </w:rPr>
        <w:t>Chi tiết thủ tục hành chính</w:t>
      </w:r>
    </w:p>
    <w:p w:rsidR="00C078E0" w:rsidRDefault="00CD2E6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3.000372</w:t>
      </w:r>
    </w:p>
    <w:p w:rsidR="00C078E0" w:rsidRDefault="00CD2E6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3177/QĐ-BCA</w:t>
      </w:r>
    </w:p>
    <w:p w:rsidR="00C078E0" w:rsidRDefault="00CD2E6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kiểm soát an ninh cảng hàng không, sân bay có giá trị sử dụng dài hạn</w:t>
      </w:r>
    </w:p>
    <w:p w:rsidR="00C078E0" w:rsidRDefault="00CD2E6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C078E0" w:rsidRDefault="00CD2E6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C078E0" w:rsidRDefault="00CD2E6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đảm an ninh hàng không</w:t>
      </w:r>
    </w:p>
    <w:p w:rsidR="00C078E0" w:rsidRDefault="00CD2E69">
      <w:pPr>
        <w:spacing w:after="0" w:line="276" w:lineRule="auto"/>
        <w:jc w:val="both"/>
      </w:pPr>
      <w:r>
        <w:rPr>
          <w:rFonts w:ascii="Times New Roman" w:eastAsia="Times New Roman" w:hAnsi="Times New Roman" w:cs="Times New Roman"/>
          <w:b/>
          <w:sz w:val="26"/>
        </w:rPr>
        <w:t xml:space="preserve">Trình tự thực hiện: </w:t>
      </w:r>
    </w:p>
    <w:p w:rsidR="00C078E0" w:rsidRDefault="00C078E0">
      <w:pPr>
        <w:shd w:val="clear" w:color="auto" w:fill="F2F6F9"/>
        <w:spacing w:before="120" w:after="0" w:line="276" w:lineRule="auto"/>
        <w:jc w:val="both"/>
      </w:pPr>
    </w:p>
    <w:p w:rsidR="00C078E0" w:rsidRDefault="00CD2E69">
      <w:pPr>
        <w:spacing w:after="0" w:line="276" w:lineRule="auto"/>
        <w:jc w:val="both"/>
      </w:pPr>
      <w:r>
        <w:rPr>
          <w:rFonts w:ascii="Times New Roman" w:eastAsia="Times New Roman" w:hAnsi="Times New Roman" w:cs="Times New Roman"/>
          <w:sz w:val="26"/>
        </w:rPr>
        <w:t>a) Nộp hồ sơ thủ tục hành chính: Cơ quan đề nghị cấp giấy phép cho phương tiện nộp 01 bộ hồ sơ trực tiếp hoặc qua dịch vụ bưu chính hoặc trên môi trường điện tử đến Cục Quản lý xuất nhập cảnh, Phòng Quản lý xuất nhập cảnh Công an cấp tỉnh có cảng hàng không, sân bay được giao chủ trì triển khai công tác bảo đảm an ninh hàng không - cơ quan cấp giấy phép. b) Giải quyết thủ tục hành chính: - Trong thời hạn 01 ngày làm việc, kể từ ngày nhận được hồ sơ, nếu hồ sơ chưa đầy đủ theo quy định, cơ quan cấp giấy phép</w:t>
      </w:r>
      <w:r>
        <w:rPr>
          <w:rFonts w:ascii="Times New Roman" w:eastAsia="Times New Roman" w:hAnsi="Times New Roman" w:cs="Times New Roman"/>
          <w:sz w:val="26"/>
        </w:rPr>
        <w:t xml:space="preserve"> thông báo và đề nghị bổ sung hồ sơ theo quy định; - Trong thời hạn 07 ngày làm việc, kể từ ngày nhận đủ hồ sơ và người nộp hồ sơ thực hiện nghĩa vụ nộp phí theo quy định, nếu điều kiện cấp giấy phép phù hợp quy định thì cơ quan cấp giấy phép thực hiện việc cấp giấy phép trực tiếp hoặc qua dịch vụ bưu chính; nếu điều kiện cấp giấy phép không phù hợp quy định, cơ quan cấp giấy phép thông báo bằng văn bản hoặc thông báo trên môi trường điện tử cho cơ quan đề nghị về việc không cấp và nêu rõ lý do.</w:t>
      </w:r>
    </w:p>
    <w:p w:rsidR="00C078E0" w:rsidRDefault="00CD2E6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31"/>
        <w:gridCol w:w="875"/>
        <w:gridCol w:w="2487"/>
        <w:gridCol w:w="5218"/>
      </w:tblGrid>
      <w:tr w:rsidR="00C078E0">
        <w:tblPrEx>
          <w:tblCellMar>
            <w:top w:w="0" w:type="dxa"/>
            <w:bottom w:w="0" w:type="dxa"/>
          </w:tblCellMar>
        </w:tblPrEx>
        <w:tc>
          <w:tcPr>
            <w:tcW w:w="1500" w:type="dxa"/>
          </w:tcPr>
          <w:p w:rsidR="00C078E0" w:rsidRDefault="00C078E0"/>
          <w:p w:rsidR="00C078E0" w:rsidRDefault="00CD2E69">
            <w:pPr>
              <w:spacing w:after="0" w:line="276" w:lineRule="auto"/>
              <w:jc w:val="center"/>
            </w:pPr>
            <w:r>
              <w:rPr>
                <w:rFonts w:ascii="Times New Roman" w:eastAsia="Times New Roman" w:hAnsi="Times New Roman" w:cs="Times New Roman"/>
                <w:b/>
                <w:sz w:val="26"/>
              </w:rPr>
              <w:t>Hình thức nộp</w:t>
            </w:r>
          </w:p>
        </w:tc>
        <w:tc>
          <w:tcPr>
            <w:tcW w:w="2000" w:type="dxa"/>
          </w:tcPr>
          <w:p w:rsidR="00C078E0" w:rsidRDefault="00C078E0"/>
          <w:p w:rsidR="00C078E0" w:rsidRDefault="00CD2E69">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078E0" w:rsidRDefault="00C078E0"/>
          <w:p w:rsidR="00C078E0" w:rsidRDefault="00CD2E69">
            <w:pPr>
              <w:spacing w:after="0" w:line="276" w:lineRule="auto"/>
              <w:jc w:val="center"/>
            </w:pPr>
            <w:r>
              <w:rPr>
                <w:rFonts w:ascii="Times New Roman" w:eastAsia="Times New Roman" w:hAnsi="Times New Roman" w:cs="Times New Roman"/>
                <w:b/>
                <w:sz w:val="26"/>
              </w:rPr>
              <w:t>Phí, lệ phí</w:t>
            </w:r>
          </w:p>
        </w:tc>
        <w:tc>
          <w:tcPr>
            <w:tcW w:w="3000" w:type="dxa"/>
          </w:tcPr>
          <w:p w:rsidR="00C078E0" w:rsidRDefault="00C078E0"/>
          <w:p w:rsidR="00C078E0" w:rsidRDefault="00CD2E69">
            <w:pPr>
              <w:spacing w:after="0" w:line="276" w:lineRule="auto"/>
              <w:jc w:val="center"/>
            </w:pPr>
            <w:r>
              <w:rPr>
                <w:rFonts w:ascii="Times New Roman" w:eastAsia="Times New Roman" w:hAnsi="Times New Roman" w:cs="Times New Roman"/>
                <w:b/>
                <w:sz w:val="26"/>
              </w:rPr>
              <w:t>Mô tả</w:t>
            </w:r>
          </w:p>
        </w:tc>
      </w:tr>
      <w:tr w:rsidR="00C078E0">
        <w:tblPrEx>
          <w:tblCellMar>
            <w:top w:w="0" w:type="dxa"/>
            <w:bottom w:w="0" w:type="dxa"/>
          </w:tblCellMar>
        </w:tblPrEx>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Trực tiếp</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07 Ngày làm việc</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Phí : 100.000 Đồng (100.000đ/lần/giấy.)</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Trong thời hạn 07 ngày làm việc, kể từ ngày nhận đủ hồ sơ và người nộp hồ sơ thực hiện nghĩa vụ nộp phí theo quy định, nếu điều kiện cấp giấy phép phù hợp quy định thì cơ quan cấp giấy phép thực hiện việc cấp giấy phép trực tiếp hoặc qua dịch vụ bưu chính.</w:t>
            </w:r>
          </w:p>
        </w:tc>
      </w:tr>
      <w:tr w:rsidR="00C078E0">
        <w:tblPrEx>
          <w:tblCellMar>
            <w:top w:w="0" w:type="dxa"/>
            <w:bottom w:w="0" w:type="dxa"/>
          </w:tblCellMar>
        </w:tblPrEx>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lastRenderedPageBreak/>
              <w:t>Trực tuyến</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lastRenderedPageBreak/>
              <w:t>07 Ngày làm việc</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lastRenderedPageBreak/>
              <w:t>Phí : 100.000 Đồng (100.000đ/lần/giấy.)</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lastRenderedPageBreak/>
              <w:t>Trong thời hạn 07 ngày làm việc, kể từ ngày nhận đủ hồ sơ và người nộp hồ sơ thực hiện nghĩa vụ nộp phí theo quy định, nếu điều kiện cấp giấy phép phù hợp quy định thì cơ quan cấp giấy phép thực hiện việc cấp giấy phép trực tiếp hoặc qua dịch vụ bưu chính.</w:t>
            </w:r>
          </w:p>
        </w:tc>
      </w:tr>
      <w:tr w:rsidR="00C078E0">
        <w:tblPrEx>
          <w:tblCellMar>
            <w:top w:w="0" w:type="dxa"/>
            <w:bottom w:w="0" w:type="dxa"/>
          </w:tblCellMar>
        </w:tblPrEx>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Dịch vụ bưu chính</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07 Ngày làm việc</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Phí : 100.000 Đồng (100.000đ/lần/giấy.)</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Trong thời hạn 07 ngày làm việc, kể từ ngày nhận đủ hồ sơ và người nộp hồ sơ thực hiện nghĩa vụ nộp phí theo quy định, nếu điều kiện cấp giấy phép phù hợp quy định thì cơ quan cấp giấy phép thực hiện việc cấp giấy phép trực tiếp hoặc qua dịch vụ bưu chính.</w:t>
            </w:r>
          </w:p>
        </w:tc>
      </w:tr>
    </w:tbl>
    <w:p w:rsidR="00C078E0" w:rsidRDefault="00CD2E69">
      <w:pPr>
        <w:spacing w:before="240" w:after="0" w:line="276" w:lineRule="auto"/>
        <w:jc w:val="both"/>
      </w:pPr>
      <w:r>
        <w:rPr>
          <w:rFonts w:ascii="Times New Roman" w:eastAsia="Times New Roman" w:hAnsi="Times New Roman" w:cs="Times New Roman"/>
          <w:b/>
          <w:sz w:val="26"/>
        </w:rPr>
        <w:t xml:space="preserve">Thành phần hồ sơ: </w:t>
      </w:r>
    </w:p>
    <w:p w:rsidR="00C078E0" w:rsidRDefault="00CD2E69">
      <w:pPr>
        <w:shd w:val="clear" w:color="auto" w:fill="F2F6F9"/>
        <w:spacing w:before="120" w:after="0" w:line="276" w:lineRule="auto"/>
        <w:jc w:val="both"/>
      </w:pPr>
      <w:r>
        <w:rPr>
          <w:rFonts w:ascii="Times New Roman" w:eastAsia="Times New Roman" w:hAnsi="Times New Roman" w:cs="Times New Roman"/>
          <w:b/>
          <w:sz w:val="26"/>
        </w:rPr>
        <w:t>- Cấp lại do giấy phép còn thời hạn sử dụng nhưng bị mờ, hỏng hoặc không còn dấu hiệu bảo mật:</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567"/>
        <w:gridCol w:w="2977"/>
        <w:gridCol w:w="867"/>
      </w:tblGrid>
      <w:tr w:rsidR="00C078E0">
        <w:tblPrEx>
          <w:tblCellMar>
            <w:top w:w="0" w:type="dxa"/>
            <w:bottom w:w="0" w:type="dxa"/>
          </w:tblCellMar>
        </w:tblPrEx>
        <w:tc>
          <w:tcPr>
            <w:tcW w:w="6000" w:type="dxa"/>
          </w:tcPr>
          <w:p w:rsidR="00C078E0" w:rsidRDefault="00C078E0"/>
          <w:p w:rsidR="00C078E0" w:rsidRDefault="00CD2E69">
            <w:pPr>
              <w:spacing w:after="0" w:line="276" w:lineRule="auto"/>
              <w:jc w:val="center"/>
            </w:pPr>
            <w:r>
              <w:rPr>
                <w:rFonts w:ascii="Times New Roman" w:eastAsia="Times New Roman" w:hAnsi="Times New Roman" w:cs="Times New Roman"/>
                <w:b/>
                <w:sz w:val="26"/>
              </w:rPr>
              <w:t>Tên giấy tờ</w:t>
            </w:r>
          </w:p>
        </w:tc>
        <w:tc>
          <w:tcPr>
            <w:tcW w:w="2000" w:type="dxa"/>
          </w:tcPr>
          <w:p w:rsidR="00C078E0" w:rsidRDefault="00C078E0"/>
          <w:p w:rsidR="00C078E0" w:rsidRDefault="00CD2E69">
            <w:pPr>
              <w:spacing w:after="0" w:line="276" w:lineRule="auto"/>
              <w:jc w:val="center"/>
            </w:pPr>
            <w:r>
              <w:rPr>
                <w:rFonts w:ascii="Times New Roman" w:eastAsia="Times New Roman" w:hAnsi="Times New Roman" w:cs="Times New Roman"/>
                <w:b/>
                <w:sz w:val="26"/>
              </w:rPr>
              <w:t>Mẫu đơn, tờ khai</w:t>
            </w:r>
          </w:p>
        </w:tc>
        <w:tc>
          <w:tcPr>
            <w:tcW w:w="2000" w:type="dxa"/>
          </w:tcPr>
          <w:p w:rsidR="00C078E0" w:rsidRDefault="00C078E0"/>
          <w:p w:rsidR="00C078E0" w:rsidRDefault="00CD2E69">
            <w:pPr>
              <w:spacing w:after="0" w:line="276" w:lineRule="auto"/>
              <w:jc w:val="center"/>
            </w:pPr>
            <w:r>
              <w:rPr>
                <w:rFonts w:ascii="Times New Roman" w:eastAsia="Times New Roman" w:hAnsi="Times New Roman" w:cs="Times New Roman"/>
                <w:b/>
                <w:sz w:val="26"/>
              </w:rPr>
              <w:t>Số lượng</w:t>
            </w:r>
          </w:p>
        </w:tc>
      </w:tr>
      <w:tr w:rsidR="00C078E0">
        <w:tblPrEx>
          <w:tblCellMar>
            <w:top w:w="0" w:type="dxa"/>
            <w:bottom w:w="0" w:type="dxa"/>
          </w:tblCellMar>
        </w:tblPrEx>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Nộp lại giấy phép bị mờ, hỏng hoặc không còn dấu hiệu bảo mật.</w:t>
            </w:r>
          </w:p>
        </w:tc>
        <w:tc>
          <w:tcPr>
            <w:tcW w:w="0" w:type="auto"/>
          </w:tcPr>
          <w:p w:rsidR="00C078E0" w:rsidRDefault="00C078E0"/>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078E0">
        <w:tblPrEx>
          <w:tblCellMar>
            <w:top w:w="0" w:type="dxa"/>
            <w:bottom w:w="0" w:type="dxa"/>
          </w:tblCellMar>
        </w:tblPrEx>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Bản chính hoặc bản điện tử văn bản đề nghị theo mẫu quy định (Mẫu 1, Phụ lục I ban hành kèm theo Thông tư số 31/2025/TT-BCA ngày 21/4/2025 của Bộ trưởng Bộ Công an quy định thẻ, giấy phép, chứng nhận an ninh hàng không)</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ANKH-M1-CV.docx</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078E0">
        <w:tblPrEx>
          <w:tblCellMar>
            <w:top w:w="0" w:type="dxa"/>
            <w:bottom w:w="0" w:type="dxa"/>
          </w:tblCellMar>
        </w:tblPrEx>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 xml:space="preserve">Danh sách phương tiện đề nghị cấp giấy phép kiểm soát an ninh cảng hàng không, sân bay có giá trị sử dụng dài hạn (Mẫu 5, Phụ lục I ban hành kèm theo Thông tư số 31/2025/TT-BCA ngày 21/4/2025 của Bộ trưởng Bộ Công an quy định thẻ, giấy phép, </w:t>
            </w:r>
            <w:r>
              <w:rPr>
                <w:rFonts w:ascii="Times New Roman" w:eastAsia="Times New Roman" w:hAnsi="Times New Roman" w:cs="Times New Roman"/>
                <w:sz w:val="26"/>
              </w:rPr>
              <w:lastRenderedPageBreak/>
              <w:t>chứng nhận an ninh hàng không)</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ANKH-M5-Danhsachphuongtien.docx</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C078E0" w:rsidRDefault="00CD2E69">
      <w:pPr>
        <w:shd w:val="clear" w:color="auto" w:fill="F2F6F9"/>
        <w:spacing w:before="120" w:after="0" w:line="276" w:lineRule="auto"/>
        <w:jc w:val="both"/>
      </w:pPr>
      <w:r>
        <w:rPr>
          <w:rFonts w:ascii="Times New Roman" w:eastAsia="Times New Roman" w:hAnsi="Times New Roman" w:cs="Times New Roman"/>
          <w:b/>
          <w:sz w:val="26"/>
        </w:rPr>
        <w:t>- Cấp lại do giấy phép hết thời hạn sử dụng:</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580"/>
        <w:gridCol w:w="2977"/>
        <w:gridCol w:w="868"/>
      </w:tblGrid>
      <w:tr w:rsidR="00C078E0">
        <w:tblPrEx>
          <w:tblCellMar>
            <w:top w:w="0" w:type="dxa"/>
            <w:bottom w:w="0" w:type="dxa"/>
          </w:tblCellMar>
        </w:tblPrEx>
        <w:tc>
          <w:tcPr>
            <w:tcW w:w="6000" w:type="dxa"/>
          </w:tcPr>
          <w:p w:rsidR="00C078E0" w:rsidRDefault="00C078E0"/>
          <w:p w:rsidR="00C078E0" w:rsidRDefault="00CD2E69">
            <w:pPr>
              <w:spacing w:after="0" w:line="276" w:lineRule="auto"/>
              <w:jc w:val="center"/>
            </w:pPr>
            <w:r>
              <w:rPr>
                <w:rFonts w:ascii="Times New Roman" w:eastAsia="Times New Roman" w:hAnsi="Times New Roman" w:cs="Times New Roman"/>
                <w:b/>
                <w:sz w:val="26"/>
              </w:rPr>
              <w:t>Tên giấy tờ</w:t>
            </w:r>
          </w:p>
        </w:tc>
        <w:tc>
          <w:tcPr>
            <w:tcW w:w="2000" w:type="dxa"/>
          </w:tcPr>
          <w:p w:rsidR="00C078E0" w:rsidRDefault="00C078E0"/>
          <w:p w:rsidR="00C078E0" w:rsidRDefault="00CD2E69">
            <w:pPr>
              <w:spacing w:after="0" w:line="276" w:lineRule="auto"/>
              <w:jc w:val="center"/>
            </w:pPr>
            <w:r>
              <w:rPr>
                <w:rFonts w:ascii="Times New Roman" w:eastAsia="Times New Roman" w:hAnsi="Times New Roman" w:cs="Times New Roman"/>
                <w:b/>
                <w:sz w:val="26"/>
              </w:rPr>
              <w:t>Mẫu đơn, tờ khai</w:t>
            </w:r>
          </w:p>
        </w:tc>
        <w:tc>
          <w:tcPr>
            <w:tcW w:w="2000" w:type="dxa"/>
          </w:tcPr>
          <w:p w:rsidR="00C078E0" w:rsidRDefault="00C078E0"/>
          <w:p w:rsidR="00C078E0" w:rsidRDefault="00CD2E69">
            <w:pPr>
              <w:spacing w:after="0" w:line="276" w:lineRule="auto"/>
              <w:jc w:val="center"/>
            </w:pPr>
            <w:r>
              <w:rPr>
                <w:rFonts w:ascii="Times New Roman" w:eastAsia="Times New Roman" w:hAnsi="Times New Roman" w:cs="Times New Roman"/>
                <w:b/>
                <w:sz w:val="26"/>
              </w:rPr>
              <w:t>Số lượng</w:t>
            </w:r>
          </w:p>
        </w:tc>
      </w:tr>
      <w:tr w:rsidR="00C078E0">
        <w:tblPrEx>
          <w:tblCellMar>
            <w:top w:w="0" w:type="dxa"/>
            <w:bottom w:w="0" w:type="dxa"/>
          </w:tblCellMar>
        </w:tblPrEx>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Bản sao hoặc bản sao điện tử (đối với trường hợp nộp trên môi trường điện tử) Giấy chứng nhận kiểm định an toàn kỹ thuật và bảo vệ môi trường do cơ quan có thẩm quyền cấp còn hiệu lực</w:t>
            </w:r>
          </w:p>
        </w:tc>
        <w:tc>
          <w:tcPr>
            <w:tcW w:w="0" w:type="auto"/>
          </w:tcPr>
          <w:p w:rsidR="00C078E0" w:rsidRDefault="00C078E0"/>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C078E0">
        <w:tblPrEx>
          <w:tblCellMar>
            <w:top w:w="0" w:type="dxa"/>
            <w:bottom w:w="0" w:type="dxa"/>
          </w:tblCellMar>
        </w:tblPrEx>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Bản chính hoặc bản điện tử văn bản đề nghị theo mẫu quy định (Mẫu 1, Phụ lục I ban hành kèm theo Thông tư số 31/2025/TT-BCA ngày 21/4/2025 của Bộ trưởng Bộ Công an quy định thẻ, giấy phép, chứng nhận an ninh hàng không)</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ANKH-M1-CV.docx</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078E0">
        <w:tblPrEx>
          <w:tblCellMar>
            <w:top w:w="0" w:type="dxa"/>
            <w:bottom w:w="0" w:type="dxa"/>
          </w:tblCellMar>
        </w:tblPrEx>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Danh sách phương tiện đề nghị cấp giấy phép kiểm soát an ninh cảng hàng không, sân bay có giá trị sử dụng dài hạn (Mẫu 5, Phụ lục I ban hành kèm theo Thông tư số 31/2025/TT-BCA ngày 21/4/2025 của Bộ trưởng Bộ Công an quy định thẻ, giấy phép, chứng nhận an ninh hàng không)</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ANKH-M5-Danhsachphuongtien.docx</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C078E0" w:rsidRDefault="00CD2E69">
      <w:pPr>
        <w:shd w:val="clear" w:color="auto" w:fill="F2F6F9"/>
        <w:spacing w:before="120" w:after="0" w:line="276" w:lineRule="auto"/>
        <w:jc w:val="both"/>
      </w:pPr>
      <w:r>
        <w:rPr>
          <w:rFonts w:ascii="Times New Roman" w:eastAsia="Times New Roman" w:hAnsi="Times New Roman" w:cs="Times New Roman"/>
          <w:b/>
          <w:sz w:val="26"/>
        </w:rPr>
        <w:t>Cấp lại do bị mất giấy phép</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580"/>
        <w:gridCol w:w="2977"/>
        <w:gridCol w:w="868"/>
      </w:tblGrid>
      <w:tr w:rsidR="00C078E0">
        <w:tblPrEx>
          <w:tblCellMar>
            <w:top w:w="0" w:type="dxa"/>
            <w:bottom w:w="0" w:type="dxa"/>
          </w:tblCellMar>
        </w:tblPrEx>
        <w:tc>
          <w:tcPr>
            <w:tcW w:w="6000" w:type="dxa"/>
          </w:tcPr>
          <w:p w:rsidR="00C078E0" w:rsidRDefault="00C078E0"/>
          <w:p w:rsidR="00C078E0" w:rsidRDefault="00CD2E69">
            <w:pPr>
              <w:spacing w:after="0" w:line="276" w:lineRule="auto"/>
              <w:jc w:val="center"/>
            </w:pPr>
            <w:r>
              <w:rPr>
                <w:rFonts w:ascii="Times New Roman" w:eastAsia="Times New Roman" w:hAnsi="Times New Roman" w:cs="Times New Roman"/>
                <w:b/>
                <w:sz w:val="26"/>
              </w:rPr>
              <w:t>Tên giấy tờ</w:t>
            </w:r>
          </w:p>
        </w:tc>
        <w:tc>
          <w:tcPr>
            <w:tcW w:w="2000" w:type="dxa"/>
          </w:tcPr>
          <w:p w:rsidR="00C078E0" w:rsidRDefault="00C078E0"/>
          <w:p w:rsidR="00C078E0" w:rsidRDefault="00CD2E69">
            <w:pPr>
              <w:spacing w:after="0" w:line="276" w:lineRule="auto"/>
              <w:jc w:val="center"/>
            </w:pPr>
            <w:r>
              <w:rPr>
                <w:rFonts w:ascii="Times New Roman" w:eastAsia="Times New Roman" w:hAnsi="Times New Roman" w:cs="Times New Roman"/>
                <w:b/>
                <w:sz w:val="26"/>
              </w:rPr>
              <w:t>Mẫu đơn, tờ khai</w:t>
            </w:r>
          </w:p>
        </w:tc>
        <w:tc>
          <w:tcPr>
            <w:tcW w:w="2000" w:type="dxa"/>
          </w:tcPr>
          <w:p w:rsidR="00C078E0" w:rsidRDefault="00C078E0"/>
          <w:p w:rsidR="00C078E0" w:rsidRDefault="00CD2E69">
            <w:pPr>
              <w:spacing w:after="0" w:line="276" w:lineRule="auto"/>
              <w:jc w:val="center"/>
            </w:pPr>
            <w:r>
              <w:rPr>
                <w:rFonts w:ascii="Times New Roman" w:eastAsia="Times New Roman" w:hAnsi="Times New Roman" w:cs="Times New Roman"/>
                <w:b/>
                <w:sz w:val="26"/>
              </w:rPr>
              <w:t>Số lượng</w:t>
            </w:r>
          </w:p>
        </w:tc>
      </w:tr>
      <w:tr w:rsidR="00C078E0">
        <w:tblPrEx>
          <w:tblCellMar>
            <w:top w:w="0" w:type="dxa"/>
            <w:bottom w:w="0" w:type="dxa"/>
          </w:tblCellMar>
        </w:tblPrEx>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Bản chính hoặc bản điện tử văn bản đề nghị theo mẫu quy định (Mẫu 1, Phụ lục I ban hành kèm theo Thông tư số 31/2025/TT-BCA ngày 21/4/2025 của Bộ trưởng Bộ Công an quy định thẻ, giấy phép, chứng nhận an ninh hàng không)</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ANKH-M1-CV.docx</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078E0">
        <w:tblPrEx>
          <w:tblCellMar>
            <w:top w:w="0" w:type="dxa"/>
            <w:bottom w:w="0" w:type="dxa"/>
          </w:tblCellMar>
        </w:tblPrEx>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Danh sách phương tiện đề nghị cấp giấy phép kiểm soát an ninh cảng hàng không, sân bay có giá trị sử dụng dài hạn (Mẫu 5, Phụ lục I ban hành kèm theo Thông tư số 31/2025/TT-BCA ngày 21/4/2025 của Bộ trưởng Bộ Công an quy định thẻ, giấy phép, chứng nhận an ninh hàng không)</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ANKH-M5-Danhsachphuongtien.docx</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078E0">
        <w:tblPrEx>
          <w:tblCellMar>
            <w:top w:w="0" w:type="dxa"/>
            <w:bottom w:w="0" w:type="dxa"/>
          </w:tblCellMar>
        </w:tblPrEx>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Văn bản giải trình của người đề nghị cấp về thời gian, địa điểm và nguyên nhân mất giấy phép có xác nhận của thủ trưởng cơ quan, đơn vị.</w:t>
            </w:r>
          </w:p>
        </w:tc>
        <w:tc>
          <w:tcPr>
            <w:tcW w:w="0" w:type="auto"/>
          </w:tcPr>
          <w:p w:rsidR="00C078E0" w:rsidRDefault="00C078E0"/>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C078E0" w:rsidRDefault="00CD2E6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Cán bộ, công chức, viên chức, Doanh nghiệp, Tổ chức (không bao gồm doanh nghiệp, HTX), Tổ chức nước ngoài</w:t>
      </w:r>
    </w:p>
    <w:p w:rsidR="00C078E0" w:rsidRDefault="00CD2E6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 Cục Quản lý xuất nhập cảnh</w:t>
      </w:r>
    </w:p>
    <w:p w:rsidR="00C078E0" w:rsidRDefault="00CD2E6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 Cục Quản lý xuất nhập cảnh</w:t>
      </w:r>
    </w:p>
    <w:p w:rsidR="00C078E0" w:rsidRDefault="00CD2E6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C078E0" w:rsidRDefault="00CD2E6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C078E0" w:rsidRDefault="00CD2E6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C078E0" w:rsidRDefault="00CD2E6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kiểm soát an ninh cảng hàng không, sân bay có giá trị sử dụng dài hạn</w:t>
      </w:r>
    </w:p>
    <w:p w:rsidR="00C078E0" w:rsidRDefault="00CD2E6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0"/>
        <w:gridCol w:w="5241"/>
        <w:gridCol w:w="870"/>
        <w:gridCol w:w="1364"/>
      </w:tblGrid>
      <w:tr w:rsidR="00C078E0">
        <w:tblPrEx>
          <w:tblCellMar>
            <w:top w:w="0" w:type="dxa"/>
            <w:bottom w:w="0" w:type="dxa"/>
          </w:tblCellMar>
        </w:tblPrEx>
        <w:tc>
          <w:tcPr>
            <w:tcW w:w="2000" w:type="dxa"/>
          </w:tcPr>
          <w:p w:rsidR="00C078E0" w:rsidRDefault="00C078E0"/>
          <w:p w:rsidR="00C078E0" w:rsidRDefault="00CD2E69">
            <w:pPr>
              <w:spacing w:after="0" w:line="276" w:lineRule="auto"/>
              <w:jc w:val="center"/>
            </w:pPr>
            <w:r>
              <w:rPr>
                <w:rFonts w:ascii="Times New Roman" w:eastAsia="Times New Roman" w:hAnsi="Times New Roman" w:cs="Times New Roman"/>
                <w:b/>
                <w:sz w:val="26"/>
              </w:rPr>
              <w:t>Số ký hiệu</w:t>
            </w:r>
          </w:p>
        </w:tc>
        <w:tc>
          <w:tcPr>
            <w:tcW w:w="3500" w:type="dxa"/>
          </w:tcPr>
          <w:p w:rsidR="00C078E0" w:rsidRDefault="00C078E0"/>
          <w:p w:rsidR="00C078E0" w:rsidRDefault="00CD2E69">
            <w:pPr>
              <w:spacing w:after="0" w:line="276" w:lineRule="auto"/>
              <w:jc w:val="center"/>
            </w:pPr>
            <w:r>
              <w:rPr>
                <w:rFonts w:ascii="Times New Roman" w:eastAsia="Times New Roman" w:hAnsi="Times New Roman" w:cs="Times New Roman"/>
                <w:b/>
                <w:sz w:val="26"/>
              </w:rPr>
              <w:t>Trích yếu</w:t>
            </w:r>
          </w:p>
        </w:tc>
        <w:tc>
          <w:tcPr>
            <w:tcW w:w="1500" w:type="dxa"/>
          </w:tcPr>
          <w:p w:rsidR="00C078E0" w:rsidRDefault="00C078E0"/>
          <w:p w:rsidR="00C078E0" w:rsidRDefault="00CD2E69">
            <w:pPr>
              <w:spacing w:after="0" w:line="276" w:lineRule="auto"/>
              <w:jc w:val="center"/>
            </w:pPr>
            <w:r>
              <w:rPr>
                <w:rFonts w:ascii="Times New Roman" w:eastAsia="Times New Roman" w:hAnsi="Times New Roman" w:cs="Times New Roman"/>
                <w:b/>
                <w:sz w:val="26"/>
              </w:rPr>
              <w:t>Ngày ban hành</w:t>
            </w:r>
          </w:p>
        </w:tc>
        <w:tc>
          <w:tcPr>
            <w:tcW w:w="3000" w:type="dxa"/>
          </w:tcPr>
          <w:p w:rsidR="00C078E0" w:rsidRDefault="00C078E0"/>
          <w:p w:rsidR="00C078E0" w:rsidRDefault="00CD2E69">
            <w:pPr>
              <w:spacing w:after="0" w:line="276" w:lineRule="auto"/>
              <w:jc w:val="center"/>
            </w:pPr>
            <w:r>
              <w:rPr>
                <w:rFonts w:ascii="Times New Roman" w:eastAsia="Times New Roman" w:hAnsi="Times New Roman" w:cs="Times New Roman"/>
                <w:b/>
                <w:sz w:val="26"/>
              </w:rPr>
              <w:t>Cơ quan ban hành</w:t>
            </w:r>
          </w:p>
        </w:tc>
      </w:tr>
      <w:tr w:rsidR="00C078E0">
        <w:tblPrEx>
          <w:tblCellMar>
            <w:top w:w="0" w:type="dxa"/>
            <w:bottom w:w="0" w:type="dxa"/>
          </w:tblCellMar>
        </w:tblPrEx>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193/2016/TT-BTC</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Quy định mức thu, chế độ thu, nộp, quản lý và sử dụng phí, lệ phí trong lĩnh vực hàng không</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08-11-2016</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Bộ Tài chính</w:t>
            </w:r>
          </w:p>
        </w:tc>
      </w:tr>
      <w:tr w:rsidR="00C078E0">
        <w:tblPrEx>
          <w:tblCellMar>
            <w:top w:w="0" w:type="dxa"/>
            <w:bottom w:w="0" w:type="dxa"/>
          </w:tblCellMar>
        </w:tblPrEx>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92/2015/NĐ-CP</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Về an ninh hàng không</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13-10-2015</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Chính phủ</w:t>
            </w:r>
          </w:p>
        </w:tc>
      </w:tr>
      <w:tr w:rsidR="00C078E0">
        <w:tblPrEx>
          <w:tblCellMar>
            <w:top w:w="0" w:type="dxa"/>
            <w:bottom w:w="0" w:type="dxa"/>
          </w:tblCellMar>
        </w:tblPrEx>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61/2014/QH13</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Luật 61/2014/QH13</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21-11-2014</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Quốc Hội</w:t>
            </w:r>
          </w:p>
        </w:tc>
      </w:tr>
      <w:tr w:rsidR="00C078E0">
        <w:tblPrEx>
          <w:tblCellMar>
            <w:top w:w="0" w:type="dxa"/>
            <w:bottom w:w="0" w:type="dxa"/>
          </w:tblCellMar>
        </w:tblPrEx>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66/2006/QH11</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Hàng không dân dụng Việt Nam</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29-06-2006</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Quốc Hội</w:t>
            </w:r>
          </w:p>
        </w:tc>
      </w:tr>
      <w:tr w:rsidR="00C078E0">
        <w:tblPrEx>
          <w:tblCellMar>
            <w:top w:w="0" w:type="dxa"/>
            <w:bottom w:w="0" w:type="dxa"/>
          </w:tblCellMar>
        </w:tblPrEx>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31/2025/TT_BCA</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Thông tư số 31/2025/TT-BCA ngày 21/4/2025 của Bộ trưởng Bộ Công an quy định thẻ, giấy phép, chứng nhận an ninh hàng không</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21-04-2025</w:t>
            </w:r>
          </w:p>
        </w:tc>
        <w:tc>
          <w:tcPr>
            <w:tcW w:w="0" w:type="auto"/>
          </w:tcPr>
          <w:p w:rsidR="00C078E0" w:rsidRDefault="00C078E0"/>
          <w:p w:rsidR="00C078E0" w:rsidRDefault="00CD2E69">
            <w:pPr>
              <w:spacing w:after="0" w:line="276" w:lineRule="auto"/>
            </w:pPr>
            <w:r>
              <w:rPr>
                <w:rFonts w:ascii="Times New Roman" w:eastAsia="Times New Roman" w:hAnsi="Times New Roman" w:cs="Times New Roman"/>
                <w:sz w:val="26"/>
              </w:rPr>
              <w:t>Bộ Công an</w:t>
            </w:r>
          </w:p>
        </w:tc>
      </w:tr>
    </w:tbl>
    <w:p w:rsidR="00C078E0" w:rsidRDefault="00CD2E6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C078E0" w:rsidRDefault="00CD2E6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C078E0" w:rsidRDefault="00CD2E6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https://thutuc.dichvucong.gov.vn/p/home/dvc-tthc-thu-tuc-hanh-chinh-chi-tiet.html?ma_thu_tuc=372593</w:t>
      </w:r>
    </w:p>
    <w:sectPr w:rsidR="00C078E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078E0"/>
    <w:rsid w:val="005C7143"/>
    <w:rsid w:val="00C078E0"/>
    <w:rsid w:val="00CD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B5CC3AF-1DA9-42AC-9518-F3191D925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906</Words>
  <Characters>5166</Characters>
  <Application>Microsoft Office Word</Application>
  <DocSecurity>0</DocSecurity>
  <Lines>43</Lines>
  <Paragraphs>12</Paragraphs>
  <ScaleCrop>false</ScaleCrop>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2025-11-24T09:13:00Z</dcterms:created>
  <dcterms:modified xsi:type="dcterms:W3CDTF">2025-11-24T09:13:00Z</dcterms:modified>
</cp:coreProperties>
</file>