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0DDA" w:rsidRDefault="00C62F0F">
      <w:pPr>
        <w:spacing w:after="300" w:line="276" w:lineRule="auto"/>
        <w:jc w:val="center"/>
      </w:pPr>
      <w:r>
        <w:rPr>
          <w:rFonts w:ascii="Times New Roman" w:eastAsia="Times New Roman" w:hAnsi="Times New Roman" w:cs="Times New Roman"/>
          <w:b/>
          <w:sz w:val="26"/>
        </w:rPr>
        <w:t>Chi tiết thủ tục hành chính</w:t>
      </w:r>
    </w:p>
    <w:p w:rsidR="00560DDA" w:rsidRDefault="00C62F0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3.000378</w:t>
      </w:r>
    </w:p>
    <w:p w:rsidR="00560DDA" w:rsidRDefault="00C62F0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rsidR="00560DDA" w:rsidRDefault="00C62F0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cơ sở đủ điều kiện đào tạo, huấn luyện nghiệp vụ nhân viên an ninh hàng không</w:t>
      </w:r>
    </w:p>
    <w:p w:rsidR="00560DDA" w:rsidRDefault="00C62F0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60DDA" w:rsidRDefault="00C62F0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560DDA" w:rsidRDefault="00C62F0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560DDA" w:rsidRDefault="00C62F0F">
      <w:pPr>
        <w:spacing w:after="0" w:line="276" w:lineRule="auto"/>
        <w:jc w:val="both"/>
      </w:pPr>
      <w:r>
        <w:rPr>
          <w:rFonts w:ascii="Times New Roman" w:eastAsia="Times New Roman" w:hAnsi="Times New Roman" w:cs="Times New Roman"/>
          <w:b/>
          <w:sz w:val="26"/>
        </w:rPr>
        <w:t xml:space="preserve">Trình tự thực hiện: </w:t>
      </w:r>
    </w:p>
    <w:p w:rsidR="00560DDA" w:rsidRDefault="00560DDA">
      <w:pPr>
        <w:shd w:val="clear" w:color="auto" w:fill="F2F6F9"/>
        <w:spacing w:before="120" w:after="0" w:line="276" w:lineRule="auto"/>
        <w:jc w:val="both"/>
      </w:pPr>
    </w:p>
    <w:p w:rsidR="00560DDA" w:rsidRDefault="00C62F0F">
      <w:pPr>
        <w:spacing w:after="0" w:line="276" w:lineRule="auto"/>
        <w:jc w:val="both"/>
      </w:pPr>
      <w:r>
        <w:rPr>
          <w:rFonts w:ascii="Times New Roman" w:eastAsia="Times New Roman" w:hAnsi="Times New Roman" w:cs="Times New Roman"/>
          <w:sz w:val="26"/>
        </w:rPr>
        <w:t>a) Nộp hồ sơ TTHC: Cơ sở đào tạo, huấn luyện nghiệp vụ nhân viên an ninh hàng không gửi hồ sơ đề nghị cấp lại Giấy chứng nhận cơ sở đủ điều kiện đào tạo, huấn luyện nghiệp vụ nhân viên hàng không trực tiếp hoặc qua hệ thống bưu chính hoặc các hình thức phù hợp khác đến Cục Quản lý xuất nhập cảnh. b) Giải quyết TTHC: - Trường hợp cấp lại giấy chứng nhận do bị mất, rách, hỏng: Trong thời hạn 03 ngày làm việc kể từ ngày nhận hồ sơ đầy đủ theo quy định, Cục Quản lý xuất nhập cảnh cấp lại giấy chứng nhận hoặc th</w:t>
      </w:r>
      <w:r>
        <w:rPr>
          <w:rFonts w:ascii="Times New Roman" w:eastAsia="Times New Roman" w:hAnsi="Times New Roman" w:cs="Times New Roman"/>
          <w:sz w:val="26"/>
        </w:rPr>
        <w:t>ông báo từ chối cấp bằng văn bản, nêu rõ lý do. - Trường hợp sửa đổi, bổ sung nội dung giấy chứng nhận: Trong thời hạn 15 ngày kể từ ngày nhận hồ sơ đầy đủ theo quy định, Cục Quản lý xuất nhập cảnh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rsidR="00560DDA" w:rsidRDefault="00C62F0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9"/>
        <w:gridCol w:w="972"/>
        <w:gridCol w:w="3791"/>
        <w:gridCol w:w="3719"/>
      </w:tblGrid>
      <w:tr w:rsidR="00560DDA">
        <w:tblPrEx>
          <w:tblCellMar>
            <w:top w:w="0" w:type="dxa"/>
            <w:bottom w:w="0" w:type="dxa"/>
          </w:tblCellMar>
        </w:tblPrEx>
        <w:tc>
          <w:tcPr>
            <w:tcW w:w="15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Hình thức nộp</w:t>
            </w:r>
          </w:p>
        </w:tc>
        <w:tc>
          <w:tcPr>
            <w:tcW w:w="2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Phí, lệ phí</w:t>
            </w:r>
          </w:p>
        </w:tc>
        <w:tc>
          <w:tcPr>
            <w:tcW w:w="3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Mô tả</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Trực tiếp</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03 Ngày làm việc</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cấp lại giấy chứng nhận do bị mất, rách, hỏng: 03 ngày làm việc kể từ ngày nhận hồ sơ đầy đủ theo quy định.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Trực tiếp</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15 Ngày</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sửa đổi, bổ sung nội dung giấy chứng nhận: 15 ngày kể từ ngày nhận hồ sơ đầy đủ theo quy định.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Trực tuyến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03 Ngày làm việc</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cấp lại giấy chứng nhận do bị mất, rách, hỏng: 03 ngày làm việc kể từ ngày nhận hồ sơ đầy đủ theo quy định.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Trực tuyến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15 Ngày</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sửa đổi, bổ sung nội dung giấy chứng nhận: 15 ngày kể từ ngày nhận hồ sơ đầy đủ theo quy định.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Dịch vụ bưu chính</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03 Ngày làm việc</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cấp lại giấy chứng nhận do bị mất, rách, hỏng: 03 ngày làm việc kể từ ngày nhận hồ sơ đầy đủ theo quy định.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Dịch vụ bưu chính</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15 Ngày</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Phí :  Đồng (- Cấp lại do thay đổi nội dung: 15.000.000 đồng/lần - Cấp lại do mất, rách, hỏng 2.400.000 đồng/lần)</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Trường hợp sửa đổi, bổ sung nội dung giấy chứng nhận: 15 ngày kể từ ngày nhận hồ sơ đầy đủ theo quy định.</w:t>
            </w:r>
          </w:p>
        </w:tc>
      </w:tr>
    </w:tbl>
    <w:p w:rsidR="00560DDA" w:rsidRDefault="00C62F0F">
      <w:pPr>
        <w:spacing w:before="240" w:after="0" w:line="276" w:lineRule="auto"/>
        <w:jc w:val="both"/>
      </w:pPr>
      <w:r>
        <w:rPr>
          <w:rFonts w:ascii="Times New Roman" w:eastAsia="Times New Roman" w:hAnsi="Times New Roman" w:cs="Times New Roman"/>
          <w:b/>
          <w:sz w:val="26"/>
        </w:rPr>
        <w:t xml:space="preserve">Thành phần hồ sơ: </w:t>
      </w:r>
    </w:p>
    <w:p w:rsidR="00560DDA" w:rsidRDefault="00C62F0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126"/>
        <w:gridCol w:w="4163"/>
        <w:gridCol w:w="1122"/>
      </w:tblGrid>
      <w:tr w:rsidR="00560DDA">
        <w:tblPrEx>
          <w:tblCellMar>
            <w:top w:w="0" w:type="dxa"/>
            <w:bottom w:w="0" w:type="dxa"/>
          </w:tblCellMar>
        </w:tblPrEx>
        <w:tc>
          <w:tcPr>
            <w:tcW w:w="6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Tên giấy tờ</w:t>
            </w:r>
          </w:p>
        </w:tc>
        <w:tc>
          <w:tcPr>
            <w:tcW w:w="2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Mẫu đơn, tờ khai</w:t>
            </w:r>
          </w:p>
        </w:tc>
        <w:tc>
          <w:tcPr>
            <w:tcW w:w="2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Số lượng</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Đơn đề nghị theo mẫu quy định tại Phụ lục ban hành kèm theo Nghị định 89/2019/NĐ-CP</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11.1.PLcpliGCNcsotoANHKnngh.docx</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Các tài liệu liên quan đến việc thay đổi nội dung giấy chứng nhận (nếu có).</w:t>
            </w:r>
          </w:p>
        </w:tc>
        <w:tc>
          <w:tcPr>
            <w:tcW w:w="0" w:type="auto"/>
          </w:tcPr>
          <w:p w:rsidR="00560DDA" w:rsidRDefault="00560DDA"/>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60DDA" w:rsidRDefault="00C62F0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560DDA" w:rsidRDefault="00C62F0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560DDA" w:rsidRDefault="00C62F0F">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Cục Quản lý xuất nhập cảnh</w:t>
      </w:r>
    </w:p>
    <w:p w:rsidR="00560DDA" w:rsidRDefault="00C62F0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60DDA" w:rsidRDefault="00C62F0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60DDA" w:rsidRDefault="00C62F0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60DDA" w:rsidRDefault="00C62F0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cơ sở đủ điều kiện đào tạo, huấn luyện nghiệp vụ nhân viên an ninh hàng không</w:t>
      </w:r>
    </w:p>
    <w:p w:rsidR="00560DDA" w:rsidRDefault="00C62F0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560DDA">
        <w:tblPrEx>
          <w:tblCellMar>
            <w:top w:w="0" w:type="dxa"/>
            <w:bottom w:w="0" w:type="dxa"/>
          </w:tblCellMar>
        </w:tblPrEx>
        <w:tc>
          <w:tcPr>
            <w:tcW w:w="2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Số ký hiệu</w:t>
            </w:r>
          </w:p>
        </w:tc>
        <w:tc>
          <w:tcPr>
            <w:tcW w:w="35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Trích yếu</w:t>
            </w:r>
          </w:p>
        </w:tc>
        <w:tc>
          <w:tcPr>
            <w:tcW w:w="15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Ngày ban hành</w:t>
            </w:r>
          </w:p>
        </w:tc>
        <w:tc>
          <w:tcPr>
            <w:tcW w:w="3000" w:type="dxa"/>
          </w:tcPr>
          <w:p w:rsidR="00560DDA" w:rsidRDefault="00560DDA"/>
          <w:p w:rsidR="00560DDA" w:rsidRDefault="00C62F0F">
            <w:pPr>
              <w:spacing w:after="0" w:line="276" w:lineRule="auto"/>
              <w:jc w:val="center"/>
            </w:pPr>
            <w:r>
              <w:rPr>
                <w:rFonts w:ascii="Times New Roman" w:eastAsia="Times New Roman" w:hAnsi="Times New Roman" w:cs="Times New Roman"/>
                <w:b/>
                <w:sz w:val="26"/>
              </w:rPr>
              <w:t>Cơ quan ban hành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193/2016/TT-BTC</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08-11-2016</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Bộ Tài chính</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92/2016/NĐ-CP</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Quy định về các ngành, nghề kinh doanh có điều kiện trong lĩnh vực hàng không dân dụng</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01-07-2016</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Chính phủ</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61/2014/QH13</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Luật 61/2014/QH13</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21-11-2014</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Quốc Hội</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66/2006/QH11</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Hàng không dân dụng Việt Nam</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29-06-2006</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Quốc Hội</w:t>
            </w:r>
          </w:p>
        </w:tc>
      </w:tr>
      <w:tr w:rsidR="00560DDA">
        <w:tblPrEx>
          <w:tblCellMar>
            <w:top w:w="0" w:type="dxa"/>
            <w:bottom w:w="0" w:type="dxa"/>
          </w:tblCellMar>
        </w:tblPrEx>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 xml:space="preserve">89/2019/NĐ-CP </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tcPr>
            <w:tcW w:w="0" w:type="auto"/>
          </w:tcPr>
          <w:p w:rsidR="00560DDA" w:rsidRDefault="00560DDA"/>
          <w:p w:rsidR="00560DDA" w:rsidRDefault="00C62F0F">
            <w:pPr>
              <w:spacing w:after="0" w:line="276" w:lineRule="auto"/>
            </w:pPr>
            <w:r>
              <w:rPr>
                <w:rFonts w:ascii="Times New Roman" w:eastAsia="Times New Roman" w:hAnsi="Times New Roman" w:cs="Times New Roman"/>
                <w:sz w:val="26"/>
              </w:rPr>
              <w:t>15-11-2019</w:t>
            </w:r>
          </w:p>
        </w:tc>
        <w:tc>
          <w:tcPr>
            <w:tcW w:w="0" w:type="auto"/>
          </w:tcPr>
          <w:p w:rsidR="00560DDA" w:rsidRDefault="00560DDA"/>
        </w:tc>
      </w:tr>
    </w:tbl>
    <w:p w:rsidR="00560DDA" w:rsidRDefault="00C62F0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Điều kiện kinh doanh dịch vụ đào tạo, huấn luyện nghiệp vụ nhân viên an ninh hàng không Được Cục Quản lý xuất nhập cảnh cấp Giấy chứng nhận cơ sở đủ điều kiện đào tạo, huấn luyện nghiệp vụ nhân viên an ninh hàng không khi đáp ứng đủ các yêu cầu sau: - Yêu cầu về tổ chức bộ máy, cơ sở vật chất, trang thiết bị, đội ngũ giảng viên quy định, tại Điều 25, 26 của Nghị định 92/2016/NĐ-CP; - Yêu cầu về chương trình đào tạo, giáo trình, tài liệu đào tạo huấn luyện theo quy định. * Yêu cầu đối với cơ sở đào tạo, hu</w:t>
      </w:r>
      <w:r>
        <w:rPr>
          <w:rFonts w:ascii="Times New Roman" w:eastAsia="Times New Roman" w:hAnsi="Times New Roman" w:cs="Times New Roman"/>
          <w:sz w:val="26"/>
        </w:rPr>
        <w:t>ấn luyện nghiệp vụ nhân viên an ninh hàng không Cơ sở đào tạo, huấn luyện nghiệp vụ nhân viên an ninh hàng không phải đáp ứng các yêu cầu sau đây: - Có tài liệu giải trình cơ sở vật chất đáp ứng quy chuẩn, tiêu chuẩn kỹ thuật chuyên ngành hàng không theo quy định. - Có tài liệu giải trình chương trình đào tạo, giáo trình, tài liệu đào tạo huấn luyện theo quy định. - Cơ sở đào tạo, huấn luyện nghiệp vụ nhân viên an ninh hàng không phải bảo đảm đủ giáo viên lý thuyết, giáo viên thực hành để mỗi môn học chuyên</w:t>
      </w:r>
      <w:r>
        <w:rPr>
          <w:rFonts w:ascii="Times New Roman" w:eastAsia="Times New Roman" w:hAnsi="Times New Roman" w:cs="Times New Roman"/>
          <w:sz w:val="26"/>
        </w:rPr>
        <w:t xml:space="preserve"> ngành hàng không phải có ít nhất 01 giáo viên giảng dạy. * Giáo viên của cơ sở đào tạo, huấn luyện nghiệp vụ nhân viên an ninh hàng không Tiêu chuẩn giáo viên chuyên ngành hàng không phải đáp ứng một trong các yêu cầu sau: - Có chứng chỉ chuyên môn theo quy định tại văn bản quy phạm pháp luật chuyên ngành hàng không hoặc có kinh nghiệm 5 năm làm việc trong lĩnh vực chuyên môn liên quan đến môn giảng dạy. - Có nghiệp vụ sư phạm theo pháp luật về giáo dục hoặc giáo dục nghề nghiệp.</w:t>
      </w:r>
    </w:p>
    <w:p w:rsidR="00560DDA" w:rsidRDefault="00C62F0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60DDA" w:rsidRDefault="00C62F0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https://thutuc.dichvucong.gov.vn/p/home/dvc-tthc-thu-tuc-hanh-chinh-chi-tiet.html?ma_thu_tuc=372610</w:t>
      </w:r>
    </w:p>
    <w:sectPr w:rsidR="00560DD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0DDA"/>
    <w:rsid w:val="00560DDA"/>
    <w:rsid w:val="00A5189B"/>
    <w:rsid w:val="00C6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C1EFD1-C5AA-41B6-AC73-47CD424E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2025-11-24T09:14:00Z</dcterms:created>
  <dcterms:modified xsi:type="dcterms:W3CDTF">2025-11-24T09:14:00Z</dcterms:modified>
</cp:coreProperties>
</file>