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6FBC" w:rsidRDefault="009D5AE7">
      <w:pPr>
        <w:spacing w:after="300" w:line="276" w:lineRule="auto"/>
        <w:jc w:val="center"/>
      </w:pPr>
      <w:r>
        <w:rPr>
          <w:rFonts w:ascii="Times New Roman" w:eastAsia="Times New Roman" w:hAnsi="Times New Roman" w:cs="Times New Roman"/>
          <w:b/>
          <w:sz w:val="26"/>
        </w:rPr>
        <w:t>Chi tiết thủ tục hành chính</w:t>
      </w:r>
    </w:p>
    <w:p w:rsidR="00576FBC" w:rsidRDefault="009D5A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3.000391</w:t>
      </w:r>
    </w:p>
    <w:p w:rsidR="00576FBC" w:rsidRDefault="009D5A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576FBC" w:rsidRDefault="009D5A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mang vũ khí, công cụ hỗ trợ vào, ra lãnh thổ nước Cộng hoà xã hội chủ nghĩa Việt Nam</w:t>
      </w:r>
    </w:p>
    <w:p w:rsidR="00576FBC" w:rsidRDefault="009D5A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76FBC" w:rsidRDefault="009D5A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576FBC" w:rsidRDefault="009D5A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576FBC" w:rsidRDefault="009D5AE7">
      <w:pPr>
        <w:spacing w:after="0" w:line="276" w:lineRule="auto"/>
        <w:jc w:val="both"/>
      </w:pPr>
      <w:r>
        <w:rPr>
          <w:rFonts w:ascii="Times New Roman" w:eastAsia="Times New Roman" w:hAnsi="Times New Roman" w:cs="Times New Roman"/>
          <w:b/>
          <w:sz w:val="26"/>
        </w:rPr>
        <w:t xml:space="preserve">Trình tự thực hiện: </w:t>
      </w:r>
    </w:p>
    <w:p w:rsidR="00576FBC" w:rsidRDefault="00576FBC">
      <w:pPr>
        <w:shd w:val="clear" w:color="auto" w:fill="F2F6F9"/>
        <w:spacing w:before="120" w:after="0" w:line="276" w:lineRule="auto"/>
        <w:jc w:val="both"/>
      </w:pPr>
    </w:p>
    <w:p w:rsidR="00576FBC" w:rsidRDefault="009D5AE7">
      <w:pPr>
        <w:spacing w:after="0" w:line="276" w:lineRule="auto"/>
        <w:jc w:val="both"/>
      </w:pPr>
      <w:r>
        <w:rPr>
          <w:rFonts w:ascii="Times New Roman" w:eastAsia="Times New Roman" w:hAnsi="Times New Roman" w:cs="Times New Roman"/>
          <w:sz w:val="26"/>
        </w:rPr>
        <w:t>- Bước 1: Cơ quan, tổ chức, cá nhân chuẩn bị hồ sơ theo quy định của pháp luật. - Bước 2: Cơ quan, tổ chức, cá nhân nộp hồ sơ tại Cục Cảnh sát quản lý hành chính về trật tự xã hội, Bộ Công an. - Bước 3: Khi tiếp nhận hồ sơ, cơ quan có thẩm quyền kiểm tra tính pháp lý, nội dung hồ sơ: + Trường hợp hồ sơ đạt yêu cầu: Cán bộ tiếp nhận hồ sơ phải thông báo bằng văn bản thời gian trả kết quả cho cơ quan, tổ chức, cá nhân đề nghị biết và nhập vào hệ thống phần mềm quản lý vũ khí, vật liệu nổ, công cụ hỗ trợ và ph</w:t>
      </w:r>
      <w:r>
        <w:rPr>
          <w:rFonts w:ascii="Times New Roman" w:eastAsia="Times New Roman" w:hAnsi="Times New Roman" w:cs="Times New Roman"/>
          <w:sz w:val="26"/>
        </w:rPr>
        <w:t>áo. + Trường hợp hồ sơ thiếu thủ tục: Cán bộ tiếp nhận hồ sơ phải trả hồ sơ hoặc thông báo bằng văn bản cho cơ quan, tổ chức, cá nhân đề nghị để bổ sung, hoàn thiện hồ sơ. + Hồ sơ không đạt yêu cầu: Cán bộ tiếp nhận hồ sơ không tiếp nhận và thông báo trả lời trực tiếp hoặc bằng văn bản, nêu rõ lý do không tiếp nhận cho cơ quan, tổ chức, cá nhân đề nghị biết. - Bước 4: Căn cứ theo ngày hẹn trên phiếu tiếp nhận hồ sơ và hẹn trả kết quả để nhận giấy phép mang vũ khí, công cụ hỗ trợ vào, ra lãnh thổ nước Cộng h</w:t>
      </w:r>
      <w:r>
        <w:rPr>
          <w:rFonts w:ascii="Times New Roman" w:eastAsia="Times New Roman" w:hAnsi="Times New Roman" w:cs="Times New Roman"/>
          <w:sz w:val="26"/>
        </w:rPr>
        <w:t>oà xã hội chủ nghĩa Việt Nam.</w:t>
      </w:r>
    </w:p>
    <w:p w:rsidR="00576FBC" w:rsidRDefault="009D5A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5"/>
        <w:gridCol w:w="1013"/>
        <w:gridCol w:w="2155"/>
        <w:gridCol w:w="5408"/>
      </w:tblGrid>
      <w:tr w:rsidR="00576FBC">
        <w:tblPrEx>
          <w:tblCellMar>
            <w:top w:w="0" w:type="dxa"/>
            <w:bottom w:w="0" w:type="dxa"/>
          </w:tblCellMar>
        </w:tblPrEx>
        <w:tc>
          <w:tcPr>
            <w:tcW w:w="15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Hình thức nộp</w:t>
            </w:r>
          </w:p>
        </w:tc>
        <w:tc>
          <w:tcPr>
            <w:tcW w:w="2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Phí, lệ phí</w:t>
            </w:r>
          </w:p>
        </w:tc>
        <w:tc>
          <w:tcPr>
            <w:tcW w:w="3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Mô tả</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Trực tiếp</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3 Ngày làm việc</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Phí : 10.000 Đồng (10.000 đồng/khẩu-chiếc)</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cấp giấy phép; trường hợp không cấp phải trả lời bằng văn bản và nêu rõ lý do.</w:t>
            </w:r>
          </w:p>
        </w:tc>
      </w:tr>
    </w:tbl>
    <w:p w:rsidR="00576FBC" w:rsidRDefault="009D5AE7">
      <w:pPr>
        <w:spacing w:before="240" w:after="0" w:line="276" w:lineRule="auto"/>
        <w:jc w:val="both"/>
      </w:pPr>
      <w:r>
        <w:rPr>
          <w:rFonts w:ascii="Times New Roman" w:eastAsia="Times New Roman" w:hAnsi="Times New Roman" w:cs="Times New Roman"/>
          <w:b/>
          <w:sz w:val="26"/>
        </w:rPr>
        <w:t xml:space="preserve">Thành phần hồ sơ: </w:t>
      </w:r>
    </w:p>
    <w:p w:rsidR="00576FBC" w:rsidRDefault="009D5AE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9"/>
        <w:gridCol w:w="834"/>
        <w:gridCol w:w="938"/>
      </w:tblGrid>
      <w:tr w:rsidR="00576FBC">
        <w:tblPrEx>
          <w:tblCellMar>
            <w:top w:w="0" w:type="dxa"/>
            <w:bottom w:w="0" w:type="dxa"/>
          </w:tblCellMar>
        </w:tblPrEx>
        <w:tc>
          <w:tcPr>
            <w:tcW w:w="6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Tên giấy tờ</w:t>
            </w:r>
          </w:p>
        </w:tc>
        <w:tc>
          <w:tcPr>
            <w:tcW w:w="2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Mẫu đơn, tờ khai</w:t>
            </w:r>
          </w:p>
        </w:tc>
        <w:tc>
          <w:tcPr>
            <w:tcW w:w="2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Số lượng</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 Lưu ý: Đối với trường hợp mang vũ khí, công cụ hỗ trợ vào, ra lãnh thổ nước Cộng hoà xã hội chủ nghĩa Việt</w:t>
            </w:r>
            <w:r>
              <w:rPr>
                <w:rFonts w:ascii="Times New Roman" w:eastAsia="Times New Roman" w:hAnsi="Times New Roman" w:cs="Times New Roman"/>
                <w:sz w:val="26"/>
              </w:rPr>
              <w:t xml:space="preserve"> Nam để: (1) Luyện tập, thi đấu thể thao; chào hàng, giới thiệu, triển lãm, trưng bày sản phẩm; làm đạo cụ trong hoạt động văn hóa, nghệ thuật; (2) Theo chương trình, kế hoạch của Bộ Quốc phòng, Bộ Công an thì phải có bản sao quyết định, chương trình hoặc kế hoạch của cơ quan nhà nước có thẩm quyền theo quy định tại Điều 11 Luật Quản lý, sử dụng vũ khí, vật liệu nổ và công cụ hỗ trợ (Luật số 42/2024/QH15 ngày 29/6/2024). Đối với các trường hợp khác hoặc mang nhiều hơn 10 khẩu súng ngắn, chủng loại khác và c</w:t>
            </w:r>
            <w:r>
              <w:rPr>
                <w:rFonts w:ascii="Times New Roman" w:eastAsia="Times New Roman" w:hAnsi="Times New Roman" w:cs="Times New Roman"/>
                <w:sz w:val="26"/>
              </w:rPr>
              <w:t>ơ số đạn, phụ kiện kèm theo (nếu có), cơ quan Công an có thẩm quyền cấp phép phải báo  cáo  Bộ trưởng Bộ Công an xem xét, quyết định.</w:t>
            </w:r>
          </w:p>
        </w:tc>
        <w:tc>
          <w:tcPr>
            <w:tcW w:w="0" w:type="auto"/>
          </w:tcPr>
          <w:p w:rsidR="00576FBC" w:rsidRDefault="00576FBC"/>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76FBC" w:rsidRDefault="009D5A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576FBC" w:rsidRDefault="009D5A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576FBC" w:rsidRDefault="009D5A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76FBC" w:rsidRDefault="009D5A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76FBC" w:rsidRDefault="009D5A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76FBC" w:rsidRDefault="009D5A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76FBC" w:rsidRDefault="009D5A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mang vũ khí, công cụ hỗ trợ vào, ra lãnh thổ nước Cộng hoà xã hội chủ nghĩa Việt Nam</w:t>
      </w:r>
    </w:p>
    <w:p w:rsidR="00576FBC" w:rsidRDefault="009D5A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576FBC">
        <w:tblPrEx>
          <w:tblCellMar>
            <w:top w:w="0" w:type="dxa"/>
            <w:bottom w:w="0" w:type="dxa"/>
          </w:tblCellMar>
        </w:tblPrEx>
        <w:tc>
          <w:tcPr>
            <w:tcW w:w="2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Số ký hiệu</w:t>
            </w:r>
          </w:p>
        </w:tc>
        <w:tc>
          <w:tcPr>
            <w:tcW w:w="35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Trích yếu</w:t>
            </w:r>
          </w:p>
        </w:tc>
        <w:tc>
          <w:tcPr>
            <w:tcW w:w="15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Ngày ban hành</w:t>
            </w:r>
          </w:p>
        </w:tc>
        <w:tc>
          <w:tcPr>
            <w:tcW w:w="3000" w:type="dxa"/>
          </w:tcPr>
          <w:p w:rsidR="00576FBC" w:rsidRDefault="00576FBC"/>
          <w:p w:rsidR="00576FBC" w:rsidRDefault="009D5AE7">
            <w:pPr>
              <w:spacing w:after="0" w:line="276" w:lineRule="auto"/>
              <w:jc w:val="center"/>
            </w:pPr>
            <w:r>
              <w:rPr>
                <w:rFonts w:ascii="Times New Roman" w:eastAsia="Times New Roman" w:hAnsi="Times New Roman" w:cs="Times New Roman"/>
                <w:b/>
                <w:sz w:val="26"/>
              </w:rPr>
              <w:t>Cơ quan ban hành</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23/2019/TT-BTC</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Thông tư 23/2019/TT-BTC</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19-04-2019</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Bộ Tài chính</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42/2024/QH15</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29-06-2024</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Quốc Hội</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75/2024/TT-BCA</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15-11-2024</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Bộ trưởng Bộ Công an</w:t>
            </w:r>
          </w:p>
        </w:tc>
      </w:tr>
      <w:tr w:rsidR="00576FBC">
        <w:tblPrEx>
          <w:tblCellMar>
            <w:top w:w="0" w:type="dxa"/>
            <w:bottom w:w="0" w:type="dxa"/>
          </w:tblCellMar>
        </w:tblPrEx>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77/2024/TT-BCA</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15-11-2024</w:t>
            </w:r>
          </w:p>
        </w:tc>
        <w:tc>
          <w:tcPr>
            <w:tcW w:w="0" w:type="auto"/>
          </w:tcPr>
          <w:p w:rsidR="00576FBC" w:rsidRDefault="00576FBC"/>
          <w:p w:rsidR="00576FBC" w:rsidRDefault="009D5AE7">
            <w:pPr>
              <w:spacing w:after="0" w:line="276" w:lineRule="auto"/>
            </w:pPr>
            <w:r>
              <w:rPr>
                <w:rFonts w:ascii="Times New Roman" w:eastAsia="Times New Roman" w:hAnsi="Times New Roman" w:cs="Times New Roman"/>
                <w:sz w:val="26"/>
              </w:rPr>
              <w:t>Bộ trưởng Bộ Công an</w:t>
            </w:r>
          </w:p>
        </w:tc>
      </w:tr>
    </w:tbl>
    <w:p w:rsidR="00576FBC" w:rsidRDefault="009D5A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Theo quy định tại Điều 11 Luật Quản lý, sử dụng vũ khí, vật liệu nổ và công cụ hỗ trợ (Luật số 42/2024/QH15 ngày 29/6/2024); cụ thể: “1. Cơ quan, tổ chức, cá nhân nước ngoài được mang vũ khí, công cụ hỗ trợ vào, ra lãnh thổ nước Cộng hòa xã hội chủ nghĩa Việt Nam trong trường hợp sau đây:  a) Bảo vệ khách quốc tế là đối tượng cảnh vệ đến thăm và làm việc tại Việt Nam theo quy định của Luật Cảnh vệ;   b) Luyện tập, thi đấu thể thao; chào hàng, giới thiệu, triển lãm, trưng bày sản phẩm; làm đạo cụ trong hoạt </w:t>
      </w:r>
      <w:r>
        <w:rPr>
          <w:rFonts w:ascii="Times New Roman" w:eastAsia="Times New Roman" w:hAnsi="Times New Roman" w:cs="Times New Roman"/>
          <w:sz w:val="26"/>
        </w:rPr>
        <w:t>động văn hóa, nghệ thuật;  c) Theo chương trình, kế hoạch của Bộ Quốc phòng, Bộ Công an. 2. Cơ quan, tổ chức, cá nhân Việt Nam được mang vũ khí, công cụ hỗ trợ ra, vào lãnh thổ nước Cộng hòa xã hội chủ nghĩa Việt Nam trong trường hợp sau đây: a) Bảo vệ đối tượng cảnh vệ theo quy định của Luật Cảnh vệ;  b) Luyện tập, thi đấu thể thao; chào hàng, giới thiệu, triển lãm, trưng bày sản phẩm; làm đạo cụ trong hoạt động văn hóa, nghệ thuật;  c) Theo chương trình, kế hoạch của Bộ Quốc phòng, Bộ Công an. 3. Cơ quan,</w:t>
      </w:r>
      <w:r>
        <w:rPr>
          <w:rFonts w:ascii="Times New Roman" w:eastAsia="Times New Roman" w:hAnsi="Times New Roman" w:cs="Times New Roman"/>
          <w:sz w:val="26"/>
        </w:rPr>
        <w:t xml:space="preserve"> tổ chức, cá nhân mang vũ khí, công cụ hỗ trợ vào, ra lãnh thổ nước Cộng hòa xã hội chủ nghĩa Việt Nam không thuộc trường hợp quy định tại khoản 1 và khoản 2 Điều này phải được sự đồng ý của Bộ trưởng Bộ Công an.”.</w:t>
      </w:r>
    </w:p>
    <w:p w:rsidR="00576FBC" w:rsidRDefault="009D5A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76FBC" w:rsidRDefault="009D5A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https://thutuc.dichvucong.gov.vn/p/home/dvc-tthc-thu-tuc-hanh-chinh-chi-tiet.html?ma_thu_tuc=373239</w:t>
      </w:r>
    </w:p>
    <w:sectPr w:rsidR="00576FB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6FBC"/>
    <w:rsid w:val="00576FBC"/>
    <w:rsid w:val="005E3645"/>
    <w:rsid w:val="009D5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D07F94-C03F-4F0C-BB52-5FA72026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2025-11-24T09:16:00Z</dcterms:created>
  <dcterms:modified xsi:type="dcterms:W3CDTF">2025-11-24T09:16:00Z</dcterms:modified>
</cp:coreProperties>
</file>