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20C7" w:rsidRDefault="007D0D5C">
      <w:pPr>
        <w:spacing w:after="300" w:line="276" w:lineRule="auto"/>
        <w:jc w:val="center"/>
      </w:pPr>
      <w:r>
        <w:rPr>
          <w:rFonts w:ascii="Times New Roman" w:eastAsia="Times New Roman" w:hAnsi="Times New Roman" w:cs="Times New Roman"/>
          <w:b/>
          <w:sz w:val="26"/>
        </w:rPr>
        <w:t>Chi tiết thủ tục hành chính</w:t>
      </w:r>
    </w:p>
    <w:p w:rsidR="00E420C7" w:rsidRDefault="007D0D5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3.000408</w:t>
      </w:r>
    </w:p>
    <w:p w:rsidR="00E420C7" w:rsidRDefault="007D0D5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E420C7" w:rsidRDefault="007D0D5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vận chuyển vũ khí quân dụng, vũ khí thể thao</w:t>
      </w:r>
    </w:p>
    <w:p w:rsidR="00E420C7" w:rsidRDefault="007D0D5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E420C7" w:rsidRDefault="007D0D5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E420C7" w:rsidRDefault="007D0D5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E420C7" w:rsidRDefault="007D0D5C">
      <w:pPr>
        <w:spacing w:after="0" w:line="276" w:lineRule="auto"/>
        <w:jc w:val="both"/>
      </w:pPr>
      <w:r>
        <w:rPr>
          <w:rFonts w:ascii="Times New Roman" w:eastAsia="Times New Roman" w:hAnsi="Times New Roman" w:cs="Times New Roman"/>
          <w:b/>
          <w:sz w:val="26"/>
        </w:rPr>
        <w:t xml:space="preserve">Trình tự thực hiện: </w:t>
      </w:r>
    </w:p>
    <w:p w:rsidR="00E420C7" w:rsidRDefault="00E420C7">
      <w:pPr>
        <w:shd w:val="clear" w:color="auto" w:fill="F2F6F9"/>
        <w:spacing w:before="120" w:after="0" w:line="276" w:lineRule="auto"/>
        <w:jc w:val="both"/>
      </w:pPr>
    </w:p>
    <w:p w:rsidR="00E420C7" w:rsidRDefault="007D0D5C">
      <w:pPr>
        <w:spacing w:after="0" w:line="276" w:lineRule="auto"/>
        <w:jc w:val="both"/>
      </w:pPr>
      <w:r>
        <w:rPr>
          <w:rFonts w:ascii="Times New Roman" w:eastAsia="Times New Roman" w:hAnsi="Times New Roman" w:cs="Times New Roman"/>
          <w:sz w:val="26"/>
        </w:rPr>
        <w:t>- Bước 1: Cơ quan, tổ chức, doanh nghiệp chuẩn bị hồ sơ theo quy định của pháp luật. - Bước 2: Cơ quan, tổ chức, doanh nghiệp nộp hồ sơ tại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phải thông báo bằng văn bản thời gian trả kết quả cho cơ quan, tổ chức, doanh nghiệp đề</w:t>
      </w:r>
      <w:r>
        <w:rPr>
          <w:rFonts w:ascii="Times New Roman" w:eastAsia="Times New Roman" w:hAnsi="Times New Roman" w:cs="Times New Roman"/>
          <w:sz w:val="26"/>
        </w:rPr>
        <w:t xml:space="preserve"> nghị biết và nhập vào hệ thống phần mềm quản lý vũ khí, vật liệu nổ, công cụ hỗ trợ và pháo. + Trường hợp hồ sơ thiếu thủ tục: Cán bộ tiếp nhận hồ sơ phải trả hồ sơ hoặc thông báo bằng văn bản cho cơ quan, tổ chức, doanh nghiệp đề nghị để bổ sung, hoàn thiện hồ sơ.  + Hồ sơ không đạt yêu cầu: Cán bộ tiếp nhận hồ sơ không tiếp nhận và thông báo trả lời trực tiếp hoặc bằng văn bản, nêu rõ lý do không tiếp nhận cho cơ quan, tổ chức, doanh nghiệp đề nghị biết. - Bước 4: Căn cứ theo ngày hẹn trên phiếu tiếp nhậ</w:t>
      </w:r>
      <w:r>
        <w:rPr>
          <w:rFonts w:ascii="Times New Roman" w:eastAsia="Times New Roman" w:hAnsi="Times New Roman" w:cs="Times New Roman"/>
          <w:sz w:val="26"/>
        </w:rPr>
        <w:t>n hồ sơ và hẹn trả kết quả để nhận giấy phép vận chuyển vũ khí quân dụng, vũ khí thể thao.</w:t>
      </w:r>
    </w:p>
    <w:p w:rsidR="00E420C7" w:rsidRDefault="007D0D5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2"/>
        <w:gridCol w:w="1011"/>
        <w:gridCol w:w="1758"/>
        <w:gridCol w:w="5810"/>
      </w:tblGrid>
      <w:tr w:rsidR="00E420C7">
        <w:tblPrEx>
          <w:tblCellMar>
            <w:top w:w="0" w:type="dxa"/>
            <w:bottom w:w="0" w:type="dxa"/>
          </w:tblCellMar>
        </w:tblPrEx>
        <w:tc>
          <w:tcPr>
            <w:tcW w:w="15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Hình thức nộp</w:t>
            </w:r>
          </w:p>
        </w:tc>
        <w:tc>
          <w:tcPr>
            <w:tcW w:w="20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Phí, lệ phí</w:t>
            </w:r>
          </w:p>
        </w:tc>
        <w:tc>
          <w:tcPr>
            <w:tcW w:w="30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Mô tả</w:t>
            </w:r>
          </w:p>
        </w:tc>
      </w:tr>
      <w:tr w:rsidR="00E420C7">
        <w:tblPrEx>
          <w:tblCellMar>
            <w:top w:w="0" w:type="dxa"/>
            <w:bottom w:w="0" w:type="dxa"/>
          </w:tblCellMar>
        </w:tblPrEx>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Trực tiếp</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3 Ngày làm việc</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 xml:space="preserve">Phí : 100.000 đồng/giấy. </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cấp giấy phép vận chuyển; trường hợp không cấp phải trả lời bằng văn bản và nêu rõ lý do.</w:t>
            </w:r>
          </w:p>
        </w:tc>
      </w:tr>
    </w:tbl>
    <w:p w:rsidR="00E420C7" w:rsidRDefault="007D0D5C">
      <w:pPr>
        <w:spacing w:before="240" w:after="0" w:line="276" w:lineRule="auto"/>
        <w:jc w:val="both"/>
      </w:pPr>
      <w:r>
        <w:rPr>
          <w:rFonts w:ascii="Times New Roman" w:eastAsia="Times New Roman" w:hAnsi="Times New Roman" w:cs="Times New Roman"/>
          <w:b/>
          <w:sz w:val="26"/>
        </w:rPr>
        <w:t xml:space="preserve">Thành phần hồ sơ: </w:t>
      </w:r>
    </w:p>
    <w:p w:rsidR="00E420C7" w:rsidRDefault="007D0D5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0"/>
        <w:gridCol w:w="860"/>
        <w:gridCol w:w="961"/>
      </w:tblGrid>
      <w:tr w:rsidR="00E420C7">
        <w:tblPrEx>
          <w:tblCellMar>
            <w:top w:w="0" w:type="dxa"/>
            <w:bottom w:w="0" w:type="dxa"/>
          </w:tblCellMar>
        </w:tblPrEx>
        <w:tc>
          <w:tcPr>
            <w:tcW w:w="60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lastRenderedPageBreak/>
              <w:t>Số lượng</w:t>
            </w:r>
          </w:p>
        </w:tc>
      </w:tr>
      <w:tr w:rsidR="00E420C7">
        <w:tblPrEx>
          <w:tblCellMar>
            <w:top w:w="0" w:type="dxa"/>
            <w:bottom w:w="0" w:type="dxa"/>
          </w:tblCellMar>
        </w:tblPrEx>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Văn bản đề nghị, trong đó ghi rõ tên, địa chỉ cơ quan, tổ chức, doanh nghiệp; lý do; số lượng, chủng loại, nhãn hiệu, nguồn gốc xuất xứ;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tc>
        <w:tc>
          <w:tcPr>
            <w:tcW w:w="0" w:type="auto"/>
          </w:tcPr>
          <w:p w:rsidR="00E420C7" w:rsidRDefault="00E420C7"/>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420C7" w:rsidRDefault="007D0D5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Doanh nghiệp, Tổ chức (không bao gồm doanh nghiệp, HTX)</w:t>
      </w:r>
    </w:p>
    <w:p w:rsidR="00E420C7" w:rsidRDefault="007D0D5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rsidR="00E420C7" w:rsidRDefault="007D0D5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420C7" w:rsidRDefault="007D0D5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420C7" w:rsidRDefault="007D0D5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420C7" w:rsidRDefault="007D0D5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420C7" w:rsidRDefault="007D0D5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vũ khí quân dụng, vũ khí thể thao</w:t>
      </w:r>
    </w:p>
    <w:p w:rsidR="00E420C7" w:rsidRDefault="007D0D5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E420C7">
        <w:tblPrEx>
          <w:tblCellMar>
            <w:top w:w="0" w:type="dxa"/>
            <w:bottom w:w="0" w:type="dxa"/>
          </w:tblCellMar>
        </w:tblPrEx>
        <w:tc>
          <w:tcPr>
            <w:tcW w:w="20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Số ký hiệu</w:t>
            </w:r>
          </w:p>
        </w:tc>
        <w:tc>
          <w:tcPr>
            <w:tcW w:w="35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Trích yếu</w:t>
            </w:r>
          </w:p>
        </w:tc>
        <w:tc>
          <w:tcPr>
            <w:tcW w:w="15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Ngày ban hành</w:t>
            </w:r>
          </w:p>
        </w:tc>
        <w:tc>
          <w:tcPr>
            <w:tcW w:w="3000" w:type="dxa"/>
          </w:tcPr>
          <w:p w:rsidR="00E420C7" w:rsidRDefault="00E420C7"/>
          <w:p w:rsidR="00E420C7" w:rsidRDefault="007D0D5C">
            <w:pPr>
              <w:spacing w:after="0" w:line="276" w:lineRule="auto"/>
              <w:jc w:val="center"/>
            </w:pPr>
            <w:r>
              <w:rPr>
                <w:rFonts w:ascii="Times New Roman" w:eastAsia="Times New Roman" w:hAnsi="Times New Roman" w:cs="Times New Roman"/>
                <w:b/>
                <w:sz w:val="26"/>
              </w:rPr>
              <w:t>Cơ quan ban hành</w:t>
            </w:r>
          </w:p>
        </w:tc>
      </w:tr>
      <w:tr w:rsidR="00E420C7">
        <w:tblPrEx>
          <w:tblCellMar>
            <w:top w:w="0" w:type="dxa"/>
            <w:bottom w:w="0" w:type="dxa"/>
          </w:tblCellMar>
        </w:tblPrEx>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23/2019/TT-BTC</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Thông tư 23/2019/TT-BTC</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19-04-2019</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Bộ Tài chính</w:t>
            </w:r>
          </w:p>
        </w:tc>
      </w:tr>
      <w:tr w:rsidR="00E420C7">
        <w:tblPrEx>
          <w:tblCellMar>
            <w:top w:w="0" w:type="dxa"/>
            <w:bottom w:w="0" w:type="dxa"/>
          </w:tblCellMar>
        </w:tblPrEx>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42/2024/QH15</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29-06-2024</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Quốc Hội</w:t>
            </w:r>
          </w:p>
        </w:tc>
      </w:tr>
      <w:tr w:rsidR="00E420C7">
        <w:tblPrEx>
          <w:tblCellMar>
            <w:top w:w="0" w:type="dxa"/>
            <w:bottom w:w="0" w:type="dxa"/>
          </w:tblCellMar>
        </w:tblPrEx>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75/2024/TT-BCA</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15-11-2024</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Bộ trưởng Bộ Công an</w:t>
            </w:r>
          </w:p>
        </w:tc>
      </w:tr>
      <w:tr w:rsidR="00E420C7">
        <w:tblPrEx>
          <w:tblCellMar>
            <w:top w:w="0" w:type="dxa"/>
            <w:bottom w:w="0" w:type="dxa"/>
          </w:tblCellMar>
        </w:tblPrEx>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77/2024/TT-</w:t>
            </w:r>
            <w:r>
              <w:rPr>
                <w:rFonts w:ascii="Times New Roman" w:eastAsia="Times New Roman" w:hAnsi="Times New Roman" w:cs="Times New Roman"/>
                <w:sz w:val="26"/>
              </w:rPr>
              <w:lastRenderedPageBreak/>
              <w:t>BCA</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 xml:space="preserve">Thông tư quy định về biểu mẫu và trình tự cấp giấy </w:t>
            </w:r>
            <w:r>
              <w:rPr>
                <w:rFonts w:ascii="Times New Roman" w:eastAsia="Times New Roman" w:hAnsi="Times New Roman" w:cs="Times New Roman"/>
                <w:sz w:val="26"/>
              </w:rPr>
              <w:lastRenderedPageBreak/>
              <w:t>phép, thông báo đăng ký khai báo, chứng nhận, chứng chỉ về vũ khí, vật liệu nổ, tiền chất thuốc nổ, công cụ hỗ trợ; thông báo xác nhận khai báo vũ khí thô sơ</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15-11-</w:t>
            </w:r>
            <w:r>
              <w:rPr>
                <w:rFonts w:ascii="Times New Roman" w:eastAsia="Times New Roman" w:hAnsi="Times New Roman" w:cs="Times New Roman"/>
                <w:sz w:val="26"/>
              </w:rPr>
              <w:lastRenderedPageBreak/>
              <w:t>2024</w:t>
            </w:r>
          </w:p>
        </w:tc>
        <w:tc>
          <w:tcPr>
            <w:tcW w:w="0" w:type="auto"/>
          </w:tcPr>
          <w:p w:rsidR="00E420C7" w:rsidRDefault="00E420C7"/>
          <w:p w:rsidR="00E420C7" w:rsidRDefault="007D0D5C">
            <w:pPr>
              <w:spacing w:after="0" w:line="276" w:lineRule="auto"/>
            </w:pPr>
            <w:r>
              <w:rPr>
                <w:rFonts w:ascii="Times New Roman" w:eastAsia="Times New Roman" w:hAnsi="Times New Roman" w:cs="Times New Roman"/>
                <w:sz w:val="26"/>
              </w:rPr>
              <w:t xml:space="preserve">Bộ trưởng </w:t>
            </w:r>
            <w:r>
              <w:rPr>
                <w:rFonts w:ascii="Times New Roman" w:eastAsia="Times New Roman" w:hAnsi="Times New Roman" w:cs="Times New Roman"/>
                <w:sz w:val="26"/>
              </w:rPr>
              <w:lastRenderedPageBreak/>
              <w:t>Bộ Công an</w:t>
            </w:r>
          </w:p>
        </w:tc>
      </w:tr>
    </w:tbl>
    <w:p w:rsidR="00E420C7" w:rsidRDefault="007D0D5C">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Việc vận chuyển vũ khí quân dụng, vũ khí thể thao phải đảm bảo các điều kiện quy định tại khoản 1 Điều 29 Luật Quản lý, sử dụng vũ khí, vật liệu nổ và công cụ hỗ trợ (Luật số 42/2024/QH15 ngày 29/6/2024); cụ thể: “1. Việc vận chuyển vũ khí quân dụng, vũ khí thể thao thực hiện theo quy định sau đây: a) Phải có giấy phép hoặc mệnh lệnh vận chuyển của cơ quan, người có thẩm quyền; b) Bảo đảm bí mật, an toàn; c) Vận chuyển vũ khí quân dụng, vũ khí thể thao nguy hiểm phải sử dụng phương tiện chuyên dùng và bảo đ</w:t>
      </w:r>
      <w:r>
        <w:rPr>
          <w:rFonts w:ascii="Times New Roman" w:eastAsia="Times New Roman" w:hAnsi="Times New Roman" w:cs="Times New Roman"/>
          <w:sz w:val="26"/>
        </w:rPr>
        <w:t>ảm an toàn, phòng cháy và chữa cháy; d) Không được chở vũ khí quân dụng, vũ khí thể thao và người trên cùng một phương tiện, trừ người điều khiển phương tiện và người áp tải; đ) Không dừng, đỗ phương tiện vận chuyển vũ khí quân dụng, vũ khí thể thao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w:t>
      </w:r>
      <w:r>
        <w:rPr>
          <w:rFonts w:ascii="Times New Roman" w:eastAsia="Times New Roman" w:hAnsi="Times New Roman" w:cs="Times New Roman"/>
          <w:sz w:val="26"/>
        </w:rPr>
        <w:t>ng báo ngay cho cơ quan quân sự hoặc cơ quan Công an nơi gần nhất để phối hợp bảo vệ khi cần thiết.”.</w:t>
      </w:r>
    </w:p>
    <w:p w:rsidR="00E420C7" w:rsidRDefault="007D0D5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420C7" w:rsidRDefault="007D0D5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https://thutuc.dichvucong.gov.vn/p/home/dvc-tthc-thu-tuc-hanh-chinh-chi-tiet.html?ma_thu_tuc=375171</w:t>
      </w:r>
    </w:p>
    <w:sectPr w:rsidR="00E420C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20C7"/>
    <w:rsid w:val="007D0D5C"/>
    <w:rsid w:val="00CB7524"/>
    <w:rsid w:val="00E4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2F3C35-EB85-4D75-85BB-8CE789803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2025-11-24T09:25:00Z</dcterms:created>
  <dcterms:modified xsi:type="dcterms:W3CDTF">2025-11-24T09:25:00Z</dcterms:modified>
</cp:coreProperties>
</file>