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20DAF" w:rsidRDefault="00CB7461">
      <w:pPr>
        <w:spacing w:after="300" w:line="276" w:lineRule="auto"/>
        <w:jc w:val="center"/>
      </w:pPr>
      <w:r>
        <w:rPr>
          <w:rFonts w:ascii="Times New Roman" w:eastAsia="Times New Roman" w:hAnsi="Times New Roman" w:cs="Times New Roman"/>
          <w:b/>
          <w:sz w:val="26"/>
        </w:rPr>
        <w:t>Chi tiết thủ tục hành chính</w:t>
      </w:r>
    </w:p>
    <w:p w:rsidR="00F20DAF" w:rsidRDefault="00CB746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3.000517</w:t>
      </w:r>
    </w:p>
    <w:p w:rsidR="00F20DAF" w:rsidRDefault="00CB746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7134/QĐ-BCA-QLXNC</w:t>
      </w:r>
    </w:p>
    <w:p w:rsidR="00F20DAF" w:rsidRDefault="00CB746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thẻ miễn thị thực đặc biệt cho người nước ngoài</w:t>
      </w:r>
    </w:p>
    <w:p w:rsidR="00F20DAF" w:rsidRDefault="00CB746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F20DAF" w:rsidRDefault="00CB746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F20DAF" w:rsidRDefault="00CB746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rsidR="00F20DAF" w:rsidRDefault="00CB7461">
      <w:pPr>
        <w:spacing w:after="0" w:line="276" w:lineRule="auto"/>
        <w:jc w:val="both"/>
      </w:pPr>
      <w:r>
        <w:rPr>
          <w:rFonts w:ascii="Times New Roman" w:eastAsia="Times New Roman" w:hAnsi="Times New Roman" w:cs="Times New Roman"/>
          <w:b/>
          <w:sz w:val="26"/>
        </w:rPr>
        <w:t xml:space="preserve">Trình tự thực hiện: </w:t>
      </w:r>
    </w:p>
    <w:p w:rsidR="00F20DAF" w:rsidRDefault="00F20DAF">
      <w:pPr>
        <w:shd w:val="clear" w:color="auto" w:fill="F2F6F9"/>
        <w:spacing w:before="120" w:after="0" w:line="276" w:lineRule="auto"/>
        <w:jc w:val="both"/>
      </w:pPr>
    </w:p>
    <w:p w:rsidR="00F20DAF" w:rsidRDefault="00CB7461">
      <w:pPr>
        <w:spacing w:after="0" w:line="276" w:lineRule="auto"/>
        <w:jc w:val="both"/>
      </w:pPr>
      <w:r>
        <w:rPr>
          <w:rFonts w:ascii="Times New Roman" w:eastAsia="Times New Roman" w:hAnsi="Times New Roman" w:cs="Times New Roman"/>
          <w:sz w:val="26"/>
        </w:rPr>
        <w:t>Bước 1: Chuẩn bị hồ sơ theo quy định của pháp luật.  Bước 2: Cơ quan, tổ chức đề nghị cấp thẻ miễn thị thực đặc biệt cho người nước ngoài: - Nộp hồ sơ trực tiếp vào giờ hành chính các ngày làm việc trong tuần tại một trong hai trụ sở của Cục Quản lý xuất nhập cảnh, Bộ Công an: + Số 44-46 Trần Phú, phường Ba Đình, thành phố Hà Nội. + Số 333-335-337 đường Nguyễn Trãi, phường Cầu Ông Lãnh, Thành phố Hồ Chí Minh. - Hoặc nộp hồ sơ trực tuyến qua Cổng dịch vụ công quốc gia hoặc Cổng dịch vụ công Bộ Công an. * Cán</w:t>
      </w:r>
      <w:r>
        <w:rPr>
          <w:rFonts w:ascii="Times New Roman" w:eastAsia="Times New Roman" w:hAnsi="Times New Roman" w:cs="Times New Roman"/>
          <w:sz w:val="26"/>
        </w:rPr>
        <w:t xml:space="preserve"> bộ tiếp nhận hồ sơ kiểm tra tính pháp lý và nội dung hồ sơ:  + Trường hợp hồ sơ đã đầy đủ, hợp lệ thì tiếp nhận, cấp giấy hẹn trả kết quả hoặc thông báo cho cơ quan, tổ chức về việc đã tiếp nhận hồ sơ qua Cổng dịch vụ công quốc gia hoặc Cổng dịch vụ công Bộ Công an hoặc qua tin nhắn (SMS) hoặc qua thư điện tử (email).  + Trường hợp hồ sơ chưa đầy đủ hoặc không hợp lệ thì cán bộ tiếp nhận hồ sơ hướng dẫn hoặc thông báo trên Cổng dịch vụ công quốc gia hoặc Cổng dịch vụ công Bộ Công </w:t>
      </w:r>
      <w:r>
        <w:rPr>
          <w:rFonts w:ascii="Times New Roman" w:eastAsia="Times New Roman" w:hAnsi="Times New Roman" w:cs="Times New Roman"/>
          <w:sz w:val="26"/>
        </w:rPr>
        <w:t>an hoặc qua tin nhắn (SMS) hoặc qua thư điện tử (email) để cơ quan, tổ chức hoàn thiện hồ sơ theo quy định. + Trường hợp hồ sơ không đủ điều kiện thì không tiếp nhận, trả lời bằng văn bản hoặc thông báo trên Cổng dịch vụ công quốc gia hoặc Cổng dịch vụ công Bộ Công an hoặc qua tin nhắn (SMS) hoặc qua thư điện tử (email). * Thời gian tiếp nhận hồ sơ: Từ thứ 2 đến hết sáng thứ 7 hàng tuần (trừ ngày Tết, ngày lễ).  Bước 3: Trả kết quả: + Nhận trực tiếp: nhận kết quả trực tiếp tại Cục Quản lý xuất nhập</w:t>
      </w:r>
      <w:r>
        <w:rPr>
          <w:rFonts w:ascii="Times New Roman" w:eastAsia="Times New Roman" w:hAnsi="Times New Roman" w:cs="Times New Roman"/>
          <w:sz w:val="26"/>
        </w:rPr>
        <w:t xml:space="preserve"> cảnh. Khi đến nhận kết quả mang theo giấy hẹn trả kết quả, giấy tờ tùy thân để kiểm tra, đối chiếu. + Nhận trực tuyến: Cục Quản lý xuất nhập cảnh thông báo trên Cổng dịch vụ công quốc gia hoặc Cổng dịch vụ công Bộ Công an hoặc thư điện tử (email). + Trường hợp không đồng ý cấp thẻ miễn thị thực đặc biệt thì trả lời bằng văn bản hoặc thông báo trên Cổng dịch vụ công quốc gia hoặc Cổng dịch vụ công Bộ Công an hoặc thư điện tử (email) và nêu rõ lý do. + Thời gian trả kết quả: Từ thứ 2 đến thứ 6 hàng tuần (</w:t>
      </w:r>
      <w:r>
        <w:rPr>
          <w:rFonts w:ascii="Times New Roman" w:eastAsia="Times New Roman" w:hAnsi="Times New Roman" w:cs="Times New Roman"/>
          <w:sz w:val="26"/>
        </w:rPr>
        <w:t>trừ ngày Tết, ngày lễ).</w:t>
      </w:r>
    </w:p>
    <w:p w:rsidR="00F20DAF" w:rsidRDefault="00CB746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5"/>
        <w:gridCol w:w="879"/>
        <w:gridCol w:w="990"/>
        <w:gridCol w:w="6787"/>
      </w:tblGrid>
      <w:tr w:rsidR="00F20DAF">
        <w:tblPrEx>
          <w:tblCellMar>
            <w:top w:w="0" w:type="dxa"/>
            <w:bottom w:w="0" w:type="dxa"/>
          </w:tblCellMar>
        </w:tblPrEx>
        <w:tc>
          <w:tcPr>
            <w:tcW w:w="1500" w:type="dxa"/>
          </w:tcPr>
          <w:p w:rsidR="00F20DAF" w:rsidRDefault="00F20DAF"/>
          <w:p w:rsidR="00F20DAF" w:rsidRDefault="00CB7461">
            <w:pPr>
              <w:spacing w:after="0" w:line="276" w:lineRule="auto"/>
              <w:jc w:val="center"/>
            </w:pPr>
            <w:r>
              <w:rPr>
                <w:rFonts w:ascii="Times New Roman" w:eastAsia="Times New Roman" w:hAnsi="Times New Roman" w:cs="Times New Roman"/>
                <w:b/>
                <w:sz w:val="26"/>
              </w:rPr>
              <w:t xml:space="preserve">Hình thức </w:t>
            </w:r>
            <w:r>
              <w:rPr>
                <w:rFonts w:ascii="Times New Roman" w:eastAsia="Times New Roman" w:hAnsi="Times New Roman" w:cs="Times New Roman"/>
                <w:b/>
                <w:sz w:val="26"/>
              </w:rPr>
              <w:lastRenderedPageBreak/>
              <w:t>nộp</w:t>
            </w:r>
          </w:p>
        </w:tc>
        <w:tc>
          <w:tcPr>
            <w:tcW w:w="2000" w:type="dxa"/>
          </w:tcPr>
          <w:p w:rsidR="00F20DAF" w:rsidRDefault="00F20DAF"/>
          <w:p w:rsidR="00F20DAF" w:rsidRDefault="00CB7461">
            <w:pPr>
              <w:spacing w:after="0" w:line="276" w:lineRule="auto"/>
              <w:jc w:val="center"/>
            </w:pPr>
            <w:r>
              <w:rPr>
                <w:rFonts w:ascii="Times New Roman" w:eastAsia="Times New Roman" w:hAnsi="Times New Roman" w:cs="Times New Roman"/>
                <w:b/>
                <w:sz w:val="26"/>
              </w:rPr>
              <w:t xml:space="preserve">Thời hạn </w:t>
            </w:r>
            <w:r>
              <w:rPr>
                <w:rFonts w:ascii="Times New Roman" w:eastAsia="Times New Roman" w:hAnsi="Times New Roman" w:cs="Times New Roman"/>
                <w:b/>
                <w:sz w:val="26"/>
              </w:rPr>
              <w:lastRenderedPageBreak/>
              <w:t>giải quyết</w:t>
            </w:r>
          </w:p>
        </w:tc>
        <w:tc>
          <w:tcPr>
            <w:tcW w:w="3500" w:type="dxa"/>
          </w:tcPr>
          <w:p w:rsidR="00F20DAF" w:rsidRDefault="00F20DAF"/>
          <w:p w:rsidR="00F20DAF" w:rsidRDefault="00CB7461">
            <w:pPr>
              <w:spacing w:after="0" w:line="276" w:lineRule="auto"/>
              <w:jc w:val="center"/>
            </w:pPr>
            <w:r>
              <w:rPr>
                <w:rFonts w:ascii="Times New Roman" w:eastAsia="Times New Roman" w:hAnsi="Times New Roman" w:cs="Times New Roman"/>
                <w:b/>
                <w:sz w:val="26"/>
              </w:rPr>
              <w:t>Phí, lệ phí</w:t>
            </w:r>
          </w:p>
        </w:tc>
        <w:tc>
          <w:tcPr>
            <w:tcW w:w="3000" w:type="dxa"/>
          </w:tcPr>
          <w:p w:rsidR="00F20DAF" w:rsidRDefault="00F20DAF"/>
          <w:p w:rsidR="00F20DAF" w:rsidRDefault="00CB7461">
            <w:pPr>
              <w:spacing w:after="0" w:line="276" w:lineRule="auto"/>
              <w:jc w:val="center"/>
            </w:pPr>
            <w:r>
              <w:rPr>
                <w:rFonts w:ascii="Times New Roman" w:eastAsia="Times New Roman" w:hAnsi="Times New Roman" w:cs="Times New Roman"/>
                <w:b/>
                <w:sz w:val="26"/>
              </w:rPr>
              <w:t>Mô tả</w:t>
            </w:r>
          </w:p>
        </w:tc>
      </w:tr>
      <w:tr w:rsidR="00F20DAF">
        <w:tblPrEx>
          <w:tblCellMar>
            <w:top w:w="0" w:type="dxa"/>
            <w:bottom w:w="0" w:type="dxa"/>
          </w:tblCellMar>
        </w:tblPrEx>
        <w:tc>
          <w:tcPr>
            <w:tcW w:w="0" w:type="auto"/>
          </w:tcPr>
          <w:p w:rsidR="00F20DAF" w:rsidRDefault="00F20DAF"/>
          <w:p w:rsidR="00F20DAF" w:rsidRDefault="00CB7461">
            <w:pPr>
              <w:spacing w:after="0" w:line="276" w:lineRule="auto"/>
            </w:pPr>
            <w:r>
              <w:rPr>
                <w:rFonts w:ascii="Times New Roman" w:eastAsia="Times New Roman" w:hAnsi="Times New Roman" w:cs="Times New Roman"/>
                <w:sz w:val="26"/>
              </w:rPr>
              <w:t>Trực tiếp</w:t>
            </w:r>
          </w:p>
        </w:tc>
        <w:tc>
          <w:tcPr>
            <w:tcW w:w="0" w:type="auto"/>
          </w:tcPr>
          <w:p w:rsidR="00F20DAF" w:rsidRDefault="00F20DAF"/>
          <w:p w:rsidR="00F20DAF" w:rsidRDefault="00CB7461">
            <w:pPr>
              <w:spacing w:after="0" w:line="276" w:lineRule="auto"/>
            </w:pPr>
            <w:r>
              <w:rPr>
                <w:rFonts w:ascii="Times New Roman" w:eastAsia="Times New Roman" w:hAnsi="Times New Roman" w:cs="Times New Roman"/>
                <w:sz w:val="26"/>
              </w:rPr>
              <w:t>7 Ngày làm việc</w:t>
            </w:r>
          </w:p>
        </w:tc>
        <w:tc>
          <w:tcPr>
            <w:tcW w:w="0" w:type="auto"/>
          </w:tcPr>
          <w:p w:rsidR="00F20DAF" w:rsidRDefault="00F20DAF"/>
          <w:p w:rsidR="00F20DAF" w:rsidRDefault="00F20DAF">
            <w:pPr>
              <w:spacing w:after="0" w:line="276" w:lineRule="auto"/>
            </w:pPr>
          </w:p>
        </w:tc>
        <w:tc>
          <w:tcPr>
            <w:tcW w:w="0" w:type="auto"/>
          </w:tcPr>
          <w:p w:rsidR="00F20DAF" w:rsidRDefault="00F20DAF"/>
          <w:p w:rsidR="00F20DAF" w:rsidRDefault="00CB7461">
            <w:pPr>
              <w:spacing w:after="0" w:line="276" w:lineRule="auto"/>
            </w:pPr>
            <w:r>
              <w:rPr>
                <w:rFonts w:ascii="Times New Roman" w:eastAsia="Times New Roman" w:hAnsi="Times New Roman" w:cs="Times New Roman"/>
                <w:sz w:val="26"/>
              </w:rPr>
              <w:t xml:space="preserve">- Trực tiếp: nộp hồ sơ trực tiếp tại trụ sở Cục Quản lý xuất nhập cảnh. - Trực tuyến: nộp hồ sơ trực tuyến qua Cổng dịch vụ công quốc gia hoặc Cổng dịch vụ công Bộ Công an.  Thời hạn giải quyết: - Trong thời hạn không quá 03 ngày làm việc kể từ ngày nhận hồ sơ đề nghị đối với trường hợp quy định tại điểm b khoản 2 Điều 3 Nghị định số 221/2025/NĐ-CP ngày 08/8/2025 của Chính phủ; - Trong thời hạn không quá 05 ngày làm việc kể từ ngày nhận hồ sơ đề nghị đối với trường hợp quy định tại điểm c và điểm d khoản 2 </w:t>
            </w:r>
            <w:r>
              <w:rPr>
                <w:rFonts w:ascii="Times New Roman" w:eastAsia="Times New Roman" w:hAnsi="Times New Roman" w:cs="Times New Roman"/>
                <w:sz w:val="26"/>
              </w:rPr>
              <w:t>Điều 3 Nghị định số 221/2025/NĐ-CP ngày 08/8/2025 của Chính phủ; - Trong thời hạn không quá 07 ngày làm việc kể từ ngày nhận hồ sơ đề nghị đối với trường hợp quy định tại khoản 3 Điều 4 Nghị định số 221/2025/NĐ-CP ngày 08/8/2025 của Chính phủ.</w:t>
            </w:r>
          </w:p>
        </w:tc>
      </w:tr>
      <w:tr w:rsidR="00F20DAF">
        <w:tblPrEx>
          <w:tblCellMar>
            <w:top w:w="0" w:type="dxa"/>
            <w:bottom w:w="0" w:type="dxa"/>
          </w:tblCellMar>
        </w:tblPrEx>
        <w:tc>
          <w:tcPr>
            <w:tcW w:w="0" w:type="auto"/>
          </w:tcPr>
          <w:p w:rsidR="00F20DAF" w:rsidRDefault="00F20DAF"/>
          <w:p w:rsidR="00F20DAF" w:rsidRDefault="00CB7461">
            <w:pPr>
              <w:spacing w:after="0" w:line="276" w:lineRule="auto"/>
            </w:pPr>
            <w:r>
              <w:rPr>
                <w:rFonts w:ascii="Times New Roman" w:eastAsia="Times New Roman" w:hAnsi="Times New Roman" w:cs="Times New Roman"/>
                <w:sz w:val="26"/>
              </w:rPr>
              <w:t>Trực tuyến</w:t>
            </w:r>
          </w:p>
        </w:tc>
        <w:tc>
          <w:tcPr>
            <w:tcW w:w="0" w:type="auto"/>
          </w:tcPr>
          <w:p w:rsidR="00F20DAF" w:rsidRDefault="00F20DAF"/>
          <w:p w:rsidR="00F20DAF" w:rsidRDefault="00CB7461">
            <w:pPr>
              <w:spacing w:after="0" w:line="276" w:lineRule="auto"/>
            </w:pPr>
            <w:r>
              <w:rPr>
                <w:rFonts w:ascii="Times New Roman" w:eastAsia="Times New Roman" w:hAnsi="Times New Roman" w:cs="Times New Roman"/>
                <w:sz w:val="26"/>
              </w:rPr>
              <w:t>7 Ngày làm việc</w:t>
            </w:r>
          </w:p>
        </w:tc>
        <w:tc>
          <w:tcPr>
            <w:tcW w:w="0" w:type="auto"/>
          </w:tcPr>
          <w:p w:rsidR="00F20DAF" w:rsidRDefault="00F20DAF"/>
          <w:p w:rsidR="00F20DAF" w:rsidRDefault="00F20DAF">
            <w:pPr>
              <w:spacing w:after="0" w:line="276" w:lineRule="auto"/>
            </w:pPr>
          </w:p>
        </w:tc>
        <w:tc>
          <w:tcPr>
            <w:tcW w:w="0" w:type="auto"/>
          </w:tcPr>
          <w:p w:rsidR="00F20DAF" w:rsidRDefault="00F20DAF"/>
          <w:p w:rsidR="00F20DAF" w:rsidRDefault="00CB7461">
            <w:pPr>
              <w:spacing w:after="0" w:line="276" w:lineRule="auto"/>
            </w:pPr>
            <w:r>
              <w:rPr>
                <w:rFonts w:ascii="Times New Roman" w:eastAsia="Times New Roman" w:hAnsi="Times New Roman" w:cs="Times New Roman"/>
                <w:sz w:val="26"/>
              </w:rPr>
              <w:t xml:space="preserve">- Trực tiếp: nộp hồ sơ trực tiếp tại trụ sở Cục Quản lý xuất nhập cảnh. - Trực tuyến: nộp hồ sơ trực tuyến qua Cổng dịch vụ công quốc gia hoặc Cổng dịch vụ công Bộ Công an.  Thời hạn giải quyết: - Trong thời hạn không quá 03 ngày làm việc kể từ ngày nhận hồ sơ đề nghị đối với trường hợp quy định tại điểm b khoản 2 Điều 3 Nghị định số 221/2025/NĐ-CP ngày 08/8/2025 của Chính phủ; - Trong thời hạn không quá 05 ngày làm việc kể từ ngày nhận hồ sơ đề nghị đối với trường hợp quy định tại điểm c và điểm d khoản 2 </w:t>
            </w:r>
            <w:r>
              <w:rPr>
                <w:rFonts w:ascii="Times New Roman" w:eastAsia="Times New Roman" w:hAnsi="Times New Roman" w:cs="Times New Roman"/>
                <w:sz w:val="26"/>
              </w:rPr>
              <w:t>Điều 3 Nghị định số 221/2025/NĐ-CP ngày 08/8/2025 của Chính phủ; - Trong thời hạn không quá 07 ngày làm việc kể từ ngày nhận hồ sơ đề nghị đối với trường hợp quy định tại khoản 3 Điều 4 Nghị định số 221/2025/NĐ-CP ngày 08/8/2025 của Chính phủ.</w:t>
            </w:r>
          </w:p>
        </w:tc>
      </w:tr>
    </w:tbl>
    <w:p w:rsidR="00F20DAF" w:rsidRDefault="00CB7461">
      <w:pPr>
        <w:spacing w:before="240" w:after="0" w:line="276" w:lineRule="auto"/>
        <w:jc w:val="both"/>
      </w:pPr>
      <w:r>
        <w:rPr>
          <w:rFonts w:ascii="Times New Roman" w:eastAsia="Times New Roman" w:hAnsi="Times New Roman" w:cs="Times New Roman"/>
          <w:b/>
          <w:sz w:val="26"/>
        </w:rPr>
        <w:t xml:space="preserve">Thành phần hồ sơ: </w:t>
      </w:r>
    </w:p>
    <w:p w:rsidR="00F20DAF" w:rsidRDefault="00CB7461">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37"/>
        <w:gridCol w:w="835"/>
        <w:gridCol w:w="939"/>
      </w:tblGrid>
      <w:tr w:rsidR="00F20DAF">
        <w:tblPrEx>
          <w:tblCellMar>
            <w:top w:w="0" w:type="dxa"/>
            <w:bottom w:w="0" w:type="dxa"/>
          </w:tblCellMar>
        </w:tblPrEx>
        <w:tc>
          <w:tcPr>
            <w:tcW w:w="6000" w:type="dxa"/>
          </w:tcPr>
          <w:p w:rsidR="00F20DAF" w:rsidRDefault="00F20DAF"/>
          <w:p w:rsidR="00F20DAF" w:rsidRDefault="00CB7461">
            <w:pPr>
              <w:spacing w:after="0" w:line="276" w:lineRule="auto"/>
              <w:jc w:val="center"/>
            </w:pPr>
            <w:r>
              <w:rPr>
                <w:rFonts w:ascii="Times New Roman" w:eastAsia="Times New Roman" w:hAnsi="Times New Roman" w:cs="Times New Roman"/>
                <w:b/>
                <w:sz w:val="26"/>
              </w:rPr>
              <w:t>Tên giấy tờ</w:t>
            </w:r>
          </w:p>
        </w:tc>
        <w:tc>
          <w:tcPr>
            <w:tcW w:w="2000" w:type="dxa"/>
          </w:tcPr>
          <w:p w:rsidR="00F20DAF" w:rsidRDefault="00F20DAF"/>
          <w:p w:rsidR="00F20DAF" w:rsidRDefault="00CB7461">
            <w:pPr>
              <w:spacing w:after="0" w:line="276" w:lineRule="auto"/>
              <w:jc w:val="center"/>
            </w:pPr>
            <w:r>
              <w:rPr>
                <w:rFonts w:ascii="Times New Roman" w:eastAsia="Times New Roman" w:hAnsi="Times New Roman" w:cs="Times New Roman"/>
                <w:b/>
                <w:sz w:val="26"/>
              </w:rPr>
              <w:t>Mẫu đơn, tờ khai</w:t>
            </w:r>
          </w:p>
        </w:tc>
        <w:tc>
          <w:tcPr>
            <w:tcW w:w="2000" w:type="dxa"/>
          </w:tcPr>
          <w:p w:rsidR="00F20DAF" w:rsidRDefault="00F20DAF"/>
          <w:p w:rsidR="00F20DAF" w:rsidRDefault="00CB7461">
            <w:pPr>
              <w:spacing w:after="0" w:line="276" w:lineRule="auto"/>
              <w:jc w:val="center"/>
            </w:pPr>
            <w:r>
              <w:rPr>
                <w:rFonts w:ascii="Times New Roman" w:eastAsia="Times New Roman" w:hAnsi="Times New Roman" w:cs="Times New Roman"/>
                <w:b/>
                <w:sz w:val="26"/>
              </w:rPr>
              <w:t>Số lượng</w:t>
            </w:r>
          </w:p>
        </w:tc>
      </w:tr>
      <w:tr w:rsidR="00F20DAF">
        <w:tblPrEx>
          <w:tblCellMar>
            <w:top w:w="0" w:type="dxa"/>
            <w:bottom w:w="0" w:type="dxa"/>
          </w:tblCellMar>
        </w:tblPrEx>
        <w:tc>
          <w:tcPr>
            <w:tcW w:w="0" w:type="auto"/>
          </w:tcPr>
          <w:p w:rsidR="00F20DAF" w:rsidRDefault="00F20DAF"/>
          <w:p w:rsidR="00F20DAF" w:rsidRDefault="00CB7461">
            <w:pPr>
              <w:spacing w:after="0" w:line="276" w:lineRule="auto"/>
            </w:pPr>
            <w:r>
              <w:rPr>
                <w:rFonts w:ascii="Times New Roman" w:eastAsia="Times New Roman" w:hAnsi="Times New Roman" w:cs="Times New Roman"/>
                <w:sz w:val="26"/>
              </w:rPr>
              <w:t>Văn bản thông báo hoặc văn bản đề nghị của cơ quan, tổ chức có thẩm quyền, cụ thể: + Đối với trường hợp quy định tại điểm a khoản 1 Điều 2 Nghị định số 221/2025/NĐ-CP ngày 08/8/2025 của Chính phủ: Thông báo của cơ quan, tổ chức có thẩm quyền theo mẫu NA-01; + Đối với trường hợp quy định tại các điểm b, c, d, đ khoản 1 Điều 2 Nghị định số 221/2025/NĐ-CP ngày 08/8/2025 của Chính phủ: Văn bản đề nghị của bộ, cơ quan ngang bộ, cơ quan thuộc Chính phủ hoặc cơ quan Đảng, Quốc hội theo mẫu NA-02;  + Đối với trường</w:t>
            </w:r>
            <w:r>
              <w:rPr>
                <w:rFonts w:ascii="Times New Roman" w:eastAsia="Times New Roman" w:hAnsi="Times New Roman" w:cs="Times New Roman"/>
                <w:sz w:val="26"/>
              </w:rPr>
              <w:t xml:space="preserve"> hợp quy định tại điểm e và điểm g khoản 1 Điều 2 Nghị định số 221/2025/NĐ-CP ngày 08/8/2025 của Chính phủ: Văn bản đề nghị của cơ quan, tổ chức có liên quan theo mẫu NA-02.</w:t>
            </w:r>
          </w:p>
        </w:tc>
        <w:tc>
          <w:tcPr>
            <w:tcW w:w="0" w:type="auto"/>
          </w:tcPr>
          <w:p w:rsidR="00F20DAF" w:rsidRDefault="00F20DAF"/>
        </w:tc>
        <w:tc>
          <w:tcPr>
            <w:tcW w:w="0" w:type="auto"/>
          </w:tcPr>
          <w:p w:rsidR="00F20DAF" w:rsidRDefault="00F20DAF"/>
          <w:p w:rsidR="00F20DAF" w:rsidRDefault="00CB74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F20DAF">
        <w:tblPrEx>
          <w:tblCellMar>
            <w:top w:w="0" w:type="dxa"/>
            <w:bottom w:w="0" w:type="dxa"/>
          </w:tblCellMar>
        </w:tblPrEx>
        <w:tc>
          <w:tcPr>
            <w:tcW w:w="0" w:type="auto"/>
          </w:tcPr>
          <w:p w:rsidR="00F20DAF" w:rsidRDefault="00F20DAF"/>
          <w:p w:rsidR="00F20DAF" w:rsidRDefault="00CB7461">
            <w:pPr>
              <w:spacing w:after="0" w:line="276" w:lineRule="auto"/>
            </w:pPr>
            <w:r>
              <w:rPr>
                <w:rFonts w:ascii="Times New Roman" w:eastAsia="Times New Roman" w:hAnsi="Times New Roman" w:cs="Times New Roman"/>
                <w:sz w:val="26"/>
              </w:rPr>
              <w:t>Bản chụp trang nhân thân hộ chiếu</w:t>
            </w:r>
          </w:p>
        </w:tc>
        <w:tc>
          <w:tcPr>
            <w:tcW w:w="0" w:type="auto"/>
          </w:tcPr>
          <w:p w:rsidR="00F20DAF" w:rsidRDefault="00F20DAF"/>
        </w:tc>
        <w:tc>
          <w:tcPr>
            <w:tcW w:w="0" w:type="auto"/>
          </w:tcPr>
          <w:p w:rsidR="00F20DAF" w:rsidRDefault="00F20DAF"/>
          <w:p w:rsidR="00F20DAF" w:rsidRDefault="00CB746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F20DAF" w:rsidRDefault="00CB746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Người nước ngoài, Tổ chức (không bao gồm doanh nghiệp, HTX), Tổ chức nước ngoài</w:t>
      </w:r>
    </w:p>
    <w:p w:rsidR="00F20DAF" w:rsidRDefault="00CB746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xuất nhập cảnh</w:t>
      </w:r>
    </w:p>
    <w:p w:rsidR="00F20DAF" w:rsidRDefault="00CB746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F20DAF" w:rsidRDefault="00CB746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F20DAF" w:rsidRDefault="00CB746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F20DAF" w:rsidRDefault="00CB746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F20DAF" w:rsidRDefault="00CB746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Thẻ miễn thị thực đặc biệt dạng điện tử (mẫu NC-01), Thông báo cơ quan, tổ chức về việc cấp thẻ miễn thị thực đặc biệt dạng điện tử cho người nước ngoài thuộc đối tượng ưu đãi nhập cảnh Việt Nam (mẫu NB-01), Thẻ miễn thị thực đặc biệt dạng cứng có gắn chíp (mẫu NC-02)</w:t>
      </w:r>
    </w:p>
    <w:p w:rsidR="00F20DAF" w:rsidRDefault="00CB7461">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58"/>
        <w:gridCol w:w="3305"/>
        <w:gridCol w:w="1408"/>
        <w:gridCol w:w="2754"/>
      </w:tblGrid>
      <w:tr w:rsidR="00F20DAF">
        <w:tblPrEx>
          <w:tblCellMar>
            <w:top w:w="0" w:type="dxa"/>
            <w:bottom w:w="0" w:type="dxa"/>
          </w:tblCellMar>
        </w:tblPrEx>
        <w:tc>
          <w:tcPr>
            <w:tcW w:w="2000" w:type="dxa"/>
          </w:tcPr>
          <w:p w:rsidR="00F20DAF" w:rsidRDefault="00F20DAF"/>
          <w:p w:rsidR="00F20DAF" w:rsidRDefault="00CB7461">
            <w:pPr>
              <w:spacing w:after="0" w:line="276" w:lineRule="auto"/>
              <w:jc w:val="center"/>
            </w:pPr>
            <w:r>
              <w:rPr>
                <w:rFonts w:ascii="Times New Roman" w:eastAsia="Times New Roman" w:hAnsi="Times New Roman" w:cs="Times New Roman"/>
                <w:b/>
                <w:sz w:val="26"/>
              </w:rPr>
              <w:t>Số ký hiệu</w:t>
            </w:r>
          </w:p>
        </w:tc>
        <w:tc>
          <w:tcPr>
            <w:tcW w:w="3500" w:type="dxa"/>
          </w:tcPr>
          <w:p w:rsidR="00F20DAF" w:rsidRDefault="00F20DAF"/>
          <w:p w:rsidR="00F20DAF" w:rsidRDefault="00CB7461">
            <w:pPr>
              <w:spacing w:after="0" w:line="276" w:lineRule="auto"/>
              <w:jc w:val="center"/>
            </w:pPr>
            <w:r>
              <w:rPr>
                <w:rFonts w:ascii="Times New Roman" w:eastAsia="Times New Roman" w:hAnsi="Times New Roman" w:cs="Times New Roman"/>
                <w:b/>
                <w:sz w:val="26"/>
              </w:rPr>
              <w:t>Trích yếu</w:t>
            </w:r>
          </w:p>
        </w:tc>
        <w:tc>
          <w:tcPr>
            <w:tcW w:w="1500" w:type="dxa"/>
          </w:tcPr>
          <w:p w:rsidR="00F20DAF" w:rsidRDefault="00F20DAF"/>
          <w:p w:rsidR="00F20DAF" w:rsidRDefault="00CB7461">
            <w:pPr>
              <w:spacing w:after="0" w:line="276" w:lineRule="auto"/>
              <w:jc w:val="center"/>
            </w:pPr>
            <w:r>
              <w:rPr>
                <w:rFonts w:ascii="Times New Roman" w:eastAsia="Times New Roman" w:hAnsi="Times New Roman" w:cs="Times New Roman"/>
                <w:b/>
                <w:sz w:val="26"/>
              </w:rPr>
              <w:t>Ngày ban hành</w:t>
            </w:r>
          </w:p>
        </w:tc>
        <w:tc>
          <w:tcPr>
            <w:tcW w:w="3000" w:type="dxa"/>
          </w:tcPr>
          <w:p w:rsidR="00F20DAF" w:rsidRDefault="00F20DAF"/>
          <w:p w:rsidR="00F20DAF" w:rsidRDefault="00CB7461">
            <w:pPr>
              <w:spacing w:after="0" w:line="276" w:lineRule="auto"/>
              <w:jc w:val="center"/>
            </w:pPr>
            <w:r>
              <w:rPr>
                <w:rFonts w:ascii="Times New Roman" w:eastAsia="Times New Roman" w:hAnsi="Times New Roman" w:cs="Times New Roman"/>
                <w:b/>
                <w:sz w:val="26"/>
              </w:rPr>
              <w:t>Cơ quan ban hành</w:t>
            </w:r>
          </w:p>
        </w:tc>
      </w:tr>
      <w:tr w:rsidR="00F20DAF">
        <w:tblPrEx>
          <w:tblCellMar>
            <w:top w:w="0" w:type="dxa"/>
            <w:bottom w:w="0" w:type="dxa"/>
          </w:tblCellMar>
        </w:tblPrEx>
        <w:tc>
          <w:tcPr>
            <w:tcW w:w="0" w:type="auto"/>
          </w:tcPr>
          <w:p w:rsidR="00F20DAF" w:rsidRDefault="00F20DAF"/>
          <w:p w:rsidR="00F20DAF" w:rsidRDefault="00CB7461">
            <w:pPr>
              <w:spacing w:after="0" w:line="276" w:lineRule="auto"/>
            </w:pPr>
            <w:r>
              <w:rPr>
                <w:rFonts w:ascii="Times New Roman" w:eastAsia="Times New Roman" w:hAnsi="Times New Roman" w:cs="Times New Roman"/>
                <w:sz w:val="26"/>
              </w:rPr>
              <w:t>47/2014/QH13</w:t>
            </w:r>
          </w:p>
        </w:tc>
        <w:tc>
          <w:tcPr>
            <w:tcW w:w="0" w:type="auto"/>
          </w:tcPr>
          <w:p w:rsidR="00F20DAF" w:rsidRDefault="00F20DAF"/>
          <w:p w:rsidR="00F20DAF" w:rsidRDefault="00CB7461">
            <w:pPr>
              <w:spacing w:after="0" w:line="276" w:lineRule="auto"/>
            </w:pPr>
            <w:r>
              <w:rPr>
                <w:rFonts w:ascii="Times New Roman" w:eastAsia="Times New Roman" w:hAnsi="Times New Roman" w:cs="Times New Roman"/>
                <w:sz w:val="26"/>
              </w:rPr>
              <w:t>Luật 47/2014/QH13</w:t>
            </w:r>
          </w:p>
        </w:tc>
        <w:tc>
          <w:tcPr>
            <w:tcW w:w="0" w:type="auto"/>
          </w:tcPr>
          <w:p w:rsidR="00F20DAF" w:rsidRDefault="00F20DAF"/>
          <w:p w:rsidR="00F20DAF" w:rsidRDefault="00CB7461">
            <w:pPr>
              <w:spacing w:after="0" w:line="276" w:lineRule="auto"/>
            </w:pPr>
            <w:r>
              <w:rPr>
                <w:rFonts w:ascii="Times New Roman" w:eastAsia="Times New Roman" w:hAnsi="Times New Roman" w:cs="Times New Roman"/>
                <w:sz w:val="26"/>
              </w:rPr>
              <w:t>16-06-2014</w:t>
            </w:r>
          </w:p>
        </w:tc>
        <w:tc>
          <w:tcPr>
            <w:tcW w:w="0" w:type="auto"/>
          </w:tcPr>
          <w:p w:rsidR="00F20DAF" w:rsidRDefault="00F20DAF"/>
          <w:p w:rsidR="00F20DAF" w:rsidRDefault="00CB7461">
            <w:pPr>
              <w:spacing w:after="0" w:line="276" w:lineRule="auto"/>
            </w:pPr>
            <w:r>
              <w:rPr>
                <w:rFonts w:ascii="Times New Roman" w:eastAsia="Times New Roman" w:hAnsi="Times New Roman" w:cs="Times New Roman"/>
                <w:sz w:val="26"/>
              </w:rPr>
              <w:t>Quốc Hội</w:t>
            </w:r>
          </w:p>
        </w:tc>
      </w:tr>
      <w:tr w:rsidR="00F20DAF">
        <w:tblPrEx>
          <w:tblCellMar>
            <w:top w:w="0" w:type="dxa"/>
            <w:bottom w:w="0" w:type="dxa"/>
          </w:tblCellMar>
        </w:tblPrEx>
        <w:tc>
          <w:tcPr>
            <w:tcW w:w="0" w:type="auto"/>
          </w:tcPr>
          <w:p w:rsidR="00F20DAF" w:rsidRDefault="00F20DAF"/>
          <w:p w:rsidR="00F20DAF" w:rsidRDefault="00CB7461">
            <w:pPr>
              <w:spacing w:after="0" w:line="276" w:lineRule="auto"/>
            </w:pPr>
            <w:r>
              <w:rPr>
                <w:rFonts w:ascii="Times New Roman" w:eastAsia="Times New Roman" w:hAnsi="Times New Roman" w:cs="Times New Roman"/>
                <w:sz w:val="26"/>
              </w:rPr>
              <w:t>51/2019/QH14</w:t>
            </w:r>
          </w:p>
        </w:tc>
        <w:tc>
          <w:tcPr>
            <w:tcW w:w="0" w:type="auto"/>
          </w:tcPr>
          <w:p w:rsidR="00F20DAF" w:rsidRDefault="00F20DAF"/>
          <w:p w:rsidR="00F20DAF" w:rsidRDefault="00CB7461">
            <w:pPr>
              <w:spacing w:after="0" w:line="276" w:lineRule="auto"/>
            </w:pPr>
            <w:r>
              <w:rPr>
                <w:rFonts w:ascii="Times New Roman" w:eastAsia="Times New Roman" w:hAnsi="Times New Roman" w:cs="Times New Roman"/>
                <w:sz w:val="26"/>
              </w:rPr>
              <w:t>Luật 51/2019/QH14</w:t>
            </w:r>
          </w:p>
        </w:tc>
        <w:tc>
          <w:tcPr>
            <w:tcW w:w="0" w:type="auto"/>
          </w:tcPr>
          <w:p w:rsidR="00F20DAF" w:rsidRDefault="00F20DAF"/>
          <w:p w:rsidR="00F20DAF" w:rsidRDefault="00CB7461">
            <w:pPr>
              <w:spacing w:after="0" w:line="276" w:lineRule="auto"/>
            </w:pPr>
            <w:r>
              <w:rPr>
                <w:rFonts w:ascii="Times New Roman" w:eastAsia="Times New Roman" w:hAnsi="Times New Roman" w:cs="Times New Roman"/>
                <w:sz w:val="26"/>
              </w:rPr>
              <w:t>25-11-2019</w:t>
            </w:r>
          </w:p>
        </w:tc>
        <w:tc>
          <w:tcPr>
            <w:tcW w:w="0" w:type="auto"/>
          </w:tcPr>
          <w:p w:rsidR="00F20DAF" w:rsidRDefault="00F20DAF"/>
        </w:tc>
      </w:tr>
    </w:tbl>
    <w:p w:rsidR="00F20DAF" w:rsidRDefault="00CB746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 Có hộ chiếu còn giá trị sử dụng trên 30 ngày. </w:t>
      </w:r>
      <w:r>
        <w:rPr>
          <w:rFonts w:ascii="Times New Roman" w:eastAsia="Times New Roman" w:hAnsi="Times New Roman" w:cs="Times New Roman"/>
          <w:sz w:val="26"/>
        </w:rPr>
        <w:t>- Không thuộc các trường hợp chưa cho nhập cảnh và tạm hoãn xuất cảnh theo quy định tại Điều 21 và Điều 28 của Luật Nhập cảnh, xuất cảnh, quá cảnh, cư trú của người nước ngoài tại Việt Nam. - Thẻ miễn thị thực đặc biệt dạng cứng có gắn chíp được cấp trong trường hợp người nước ngoài đang ở Việt Nam; đã có thông tin sinh trắc học về vân tay và ảnh khuôn mặt trong Cơ sở dữ liệu quốc gia về xuất nhập cảnh hoặc có tài khoản định danh điện tử mức độ 02; được miễn thị thực với thời hạn từ 03 năm trở lên.</w:t>
      </w:r>
    </w:p>
    <w:p w:rsidR="00F20DAF" w:rsidRDefault="00CB746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F20DAF" w:rsidRDefault="00CB746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https://thutuc.dichvucong.gov.vn/p/home/dvc-tthc-thu-tuc-hanh-chinh-chi-tiet.html?ma_thu_tuc=413375</w:t>
      </w:r>
    </w:p>
    <w:sectPr w:rsidR="00F20DAF">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20DAF"/>
    <w:rsid w:val="00783DCE"/>
    <w:rsid w:val="00CB7461"/>
    <w:rsid w:val="00F20D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2437C3A-F72E-4C89-A18F-E82A49A67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930</Words>
  <Characters>5303</Characters>
  <Application>Microsoft Office Word</Application>
  <DocSecurity>0</DocSecurity>
  <Lines>44</Lines>
  <Paragraphs>12</Paragraphs>
  <ScaleCrop>false</ScaleCrop>
  <Company/>
  <LinksUpToDate>false</LinksUpToDate>
  <CharactersWithSpaces>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2025-11-24T09:35:00Z</dcterms:created>
  <dcterms:modified xsi:type="dcterms:W3CDTF">2025-11-24T09:35:00Z</dcterms:modified>
</cp:coreProperties>
</file>