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6ACB" w:rsidRDefault="00607F11">
      <w:pPr>
        <w:spacing w:after="300" w:line="276" w:lineRule="auto"/>
        <w:jc w:val="center"/>
      </w:pPr>
      <w:r>
        <w:rPr>
          <w:rFonts w:ascii="Times New Roman" w:eastAsia="Times New Roman" w:hAnsi="Times New Roman" w:cs="Times New Roman"/>
          <w:b/>
          <w:sz w:val="26"/>
        </w:rPr>
        <w:t>Chi tiết thủ tục hành chính</w:t>
      </w:r>
    </w:p>
    <w:p w:rsidR="00CB6ACB" w:rsidRDefault="00607F1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3.000522</w:t>
      </w:r>
    </w:p>
    <w:p w:rsidR="00CB6ACB" w:rsidRDefault="00607F1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7886/QĐ-BCA</w:t>
      </w:r>
    </w:p>
    <w:p w:rsidR="00CB6ACB" w:rsidRDefault="00607F1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hoạt động cai nghiện ma túy  tự nguyện</w:t>
      </w:r>
    </w:p>
    <w:p w:rsidR="00CB6ACB" w:rsidRDefault="00607F1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B6ACB" w:rsidRDefault="00607F1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CB6ACB" w:rsidRDefault="00607F1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rsidR="00CB6ACB" w:rsidRDefault="00607F11">
      <w:pPr>
        <w:spacing w:after="0" w:line="276" w:lineRule="auto"/>
        <w:jc w:val="both"/>
      </w:pPr>
      <w:r>
        <w:rPr>
          <w:rFonts w:ascii="Times New Roman" w:eastAsia="Times New Roman" w:hAnsi="Times New Roman" w:cs="Times New Roman"/>
          <w:b/>
          <w:sz w:val="26"/>
        </w:rPr>
        <w:t xml:space="preserve">Trình tự thực hiện: </w:t>
      </w:r>
    </w:p>
    <w:p w:rsidR="00CB6ACB" w:rsidRDefault="00CB6ACB">
      <w:pPr>
        <w:shd w:val="clear" w:color="auto" w:fill="F2F6F9"/>
        <w:spacing w:before="120" w:after="0" w:line="276" w:lineRule="auto"/>
        <w:jc w:val="both"/>
      </w:pPr>
    </w:p>
    <w:p w:rsidR="00CB6ACB" w:rsidRDefault="00607F11">
      <w:pPr>
        <w:spacing w:after="0" w:line="276" w:lineRule="auto"/>
        <w:jc w:val="both"/>
      </w:pPr>
      <w:r>
        <w:rPr>
          <w:rFonts w:ascii="Times New Roman" w:eastAsia="Times New Roman" w:hAnsi="Times New Roman" w:cs="Times New Roman"/>
          <w:sz w:val="26"/>
        </w:rPr>
        <w:t>Bước 1: Nộp hồ sơ Cơ sở cai nghiện ma túy tự nguyện gửi trực tiếp, qua bưu điện hoặc phương thức điện tử 01 bộ hồ sơ quy định tại Khoản 2 Điều 12 Nghị định số 116/2021/NĐ-CP đến Công an cấp tỉnh. Trường hợp gửi hồ sơ theo phương thức điện tử, cơ sở cai nghiện có trách nhiệm lưu giữ toàn bộ bản gốc của hồ sơ và chịu trách nhiệm trước pháp luật về tính chính xác, trung thực của hồ sơ; Bước 2: Tiếp nhận hồ sơ Công an cấp tỉnh có trách nhiệm tổ chức tiếp nhận hồ sơ trong giờ làm việc, nếu hồ sơ chưa đầy đủ, chư</w:t>
      </w:r>
      <w:r>
        <w:rPr>
          <w:rFonts w:ascii="Times New Roman" w:eastAsia="Times New Roman" w:hAnsi="Times New Roman" w:cs="Times New Roman"/>
          <w:sz w:val="26"/>
        </w:rPr>
        <w:t>a hợp lệ phải cấp ngay phiếu hướng dẫn bổ sung hồ sơ cho người nộp hồ sơ. Bước 3: Tổ chức thẩm định Giám đốc Công an cấp tỉnh có trách nhiệm tổ chức thẩm định hồ sơ, thẩm định các điều kiện theo quy định tại Khoản 1, Khoản 2 Điều 12 Nghị định số 116/2021/NĐ-CP. Bước 4: Quyết định cấp lại giấy phép/không cấp lại giấy phép Trong thời hạn 10 ngày làm việc, kể từ ngày nhận đủ hồ sơ hợp lệ, Giám đốc Công an cấp tỉnh quyết định cấp lại giấy phép hoạt động cai nghiện ma túy tự nguyện. Trường hợp không cấp lại giấy</w:t>
      </w:r>
      <w:r>
        <w:rPr>
          <w:rFonts w:ascii="Times New Roman" w:eastAsia="Times New Roman" w:hAnsi="Times New Roman" w:cs="Times New Roman"/>
          <w:sz w:val="26"/>
        </w:rPr>
        <w:t xml:space="preserve"> phép hoạt động cai nghiện ma túy tự nguyện thì phải trả lời cá nhân, tổ chức đề nghị cấp lại giấy phép bằng văn bản và nêu rõ lý do.</w:t>
      </w:r>
    </w:p>
    <w:p w:rsidR="00CB6ACB" w:rsidRDefault="00607F1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42"/>
        <w:gridCol w:w="1185"/>
        <w:gridCol w:w="1758"/>
        <w:gridCol w:w="5326"/>
      </w:tblGrid>
      <w:tr w:rsidR="00CB6ACB">
        <w:tblPrEx>
          <w:tblCellMar>
            <w:top w:w="0" w:type="dxa"/>
            <w:bottom w:w="0" w:type="dxa"/>
          </w:tblCellMar>
        </w:tblPrEx>
        <w:tc>
          <w:tcPr>
            <w:tcW w:w="15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Hình thức nộp</w:t>
            </w:r>
          </w:p>
        </w:tc>
        <w:tc>
          <w:tcPr>
            <w:tcW w:w="20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Phí, lệ phí</w:t>
            </w:r>
          </w:p>
        </w:tc>
        <w:tc>
          <w:tcPr>
            <w:tcW w:w="30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Mô tả</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Trực tiếp</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10 Ngày làm việc</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Phí : 0 Đồng</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Gửi hồ sơ trực tiếp, qua bưu điện hoặc theo phương thức điện tử. 10 ngày làm việc kể từ ngày nhận đủ hồ sơ hợp lệ.</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Trực tuyến</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10 Ngày làm việc</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Phí : 0 Đồng</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Gửi hồ sơ trực tiếp, qua bưu điện hoặc theo phương thức điện tử. 10 ngày làm việc kể từ ngày nhận đủ hồ sơ hợp lệ.</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Dịch vụ bưu chính</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10 Ngày làm việc</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Phí : 0 Đồng</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Gửi hồ sơ trực tiếp, qua bưu điện hoặc theo phương thức điện tử. 10 ngày làm việc kể từ ngày nhận đủ hồ sơ hợp lệ.</w:t>
            </w:r>
          </w:p>
        </w:tc>
      </w:tr>
    </w:tbl>
    <w:p w:rsidR="00CB6ACB" w:rsidRDefault="00607F11">
      <w:pPr>
        <w:spacing w:before="240" w:after="0" w:line="276" w:lineRule="auto"/>
        <w:jc w:val="both"/>
      </w:pPr>
      <w:r>
        <w:rPr>
          <w:rFonts w:ascii="Times New Roman" w:eastAsia="Times New Roman" w:hAnsi="Times New Roman" w:cs="Times New Roman"/>
          <w:b/>
          <w:sz w:val="26"/>
        </w:rPr>
        <w:t xml:space="preserve">Thành phần hồ sơ: </w:t>
      </w:r>
    </w:p>
    <w:p w:rsidR="00CB6ACB" w:rsidRDefault="00607F1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7"/>
        <w:gridCol w:w="851"/>
        <w:gridCol w:w="953"/>
      </w:tblGrid>
      <w:tr w:rsidR="00CB6ACB">
        <w:tblPrEx>
          <w:tblCellMar>
            <w:top w:w="0" w:type="dxa"/>
            <w:bottom w:w="0" w:type="dxa"/>
          </w:tblCellMar>
        </w:tblPrEx>
        <w:tc>
          <w:tcPr>
            <w:tcW w:w="60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Tên giấy tờ</w:t>
            </w:r>
          </w:p>
        </w:tc>
        <w:tc>
          <w:tcPr>
            <w:tcW w:w="20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Mẫu đơn, tờ khai</w:t>
            </w:r>
          </w:p>
        </w:tc>
        <w:tc>
          <w:tcPr>
            <w:tcW w:w="20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Số lượng</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Văn bản đề nghị cấp lại  giấy phép theo Mẫu số 01 Phụ lục II Nghị định số 116/2021/NĐ-CP.</w:t>
            </w:r>
          </w:p>
        </w:tc>
        <w:tc>
          <w:tcPr>
            <w:tcW w:w="0" w:type="auto"/>
          </w:tcPr>
          <w:p w:rsidR="00CB6ACB" w:rsidRDefault="00CB6ACB"/>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01 bản chính Biên bản của cơ sở cai nghiện ma túy tự nguyện về việc xác nhận giấy phép hoạt động bị mất (hoặc hỏng) theo Mẫu số 07 Phụ lục II Nghị định số 116/2021/NĐ-CP của cơ sở cai nghiện đối với trường hợp quy định tại điểm a  Khoản 1 Điều 12 Nghị định số 116/2021/NĐ-CP.</w:t>
            </w:r>
          </w:p>
        </w:tc>
        <w:tc>
          <w:tcPr>
            <w:tcW w:w="0" w:type="auto"/>
          </w:tcPr>
          <w:p w:rsidR="00CB6ACB" w:rsidRDefault="00CB6ACB"/>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01 bản lý lịch tóm tắt của người đứng đầu hoặc người đại diện theo pháp luật của cơ sở cai  nghiện theo Mẫu số 04 Phụ lục II Nghị định 116/2021/NĐ-CP.</w:t>
            </w:r>
          </w:p>
        </w:tc>
        <w:tc>
          <w:tcPr>
            <w:tcW w:w="0" w:type="auto"/>
          </w:tcPr>
          <w:p w:rsidR="00CB6ACB" w:rsidRDefault="00CB6ACB"/>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Các văn bằng, chứng chỉ theo quy định tại Khoản 4 Điều 9 Nghị định số 116/2021/NĐ-CP đối với trường hợp quy định tại  điểm b Khoản 1 Điều 12 Nghị định số 116/2021/NĐ-CP.</w:t>
            </w:r>
          </w:p>
        </w:tc>
        <w:tc>
          <w:tcPr>
            <w:tcW w:w="0" w:type="auto"/>
          </w:tcPr>
          <w:p w:rsidR="00CB6ACB" w:rsidRDefault="00CB6ACB"/>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 xml:space="preserve">Tài liệu chứng minh bảo đảm đủ cơ sở vật chất, trang thiết bị theo quy định tại Khoản 2, 3 Điều 9 Nghị định số 116/2021/NĐ-CP đối với trường hợp quy định tại điểm c  Khoản 1 Điều 12 Nghị định số </w:t>
            </w:r>
            <w:r>
              <w:rPr>
                <w:rFonts w:ascii="Times New Roman" w:eastAsia="Times New Roman" w:hAnsi="Times New Roman" w:cs="Times New Roman"/>
                <w:sz w:val="26"/>
              </w:rPr>
              <w:lastRenderedPageBreak/>
              <w:t>116/2021/NĐ-CP.</w:t>
            </w:r>
          </w:p>
        </w:tc>
        <w:tc>
          <w:tcPr>
            <w:tcW w:w="0" w:type="auto"/>
          </w:tcPr>
          <w:p w:rsidR="00CB6ACB" w:rsidRDefault="00CB6ACB"/>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1</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Báo cáo kết quả khắc phục việc đình chỉ hoạt động của cơ sở cai nghiện đối với trường hợp quy định tại điểm d Khoản 1 Điều 12 Nghị định số 116/2021/NĐ-CP theo  Mẫu số 08 Phụ lục II Nghị định số 116/2021/NĐ-CP.</w:t>
            </w:r>
          </w:p>
        </w:tc>
        <w:tc>
          <w:tcPr>
            <w:tcW w:w="0" w:type="auto"/>
          </w:tcPr>
          <w:p w:rsidR="00CB6ACB" w:rsidRDefault="00CB6ACB"/>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B6ACB" w:rsidRDefault="00607F1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CB6ACB" w:rsidRDefault="00607F1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CB6ACB" w:rsidRDefault="00607F1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B6ACB" w:rsidRDefault="00607F1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B6ACB" w:rsidRDefault="00607F1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B6ACB" w:rsidRDefault="00607F1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B6ACB" w:rsidRDefault="00607F1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cai nghiện ma túy đối với cơ sở cai nghiện ma túy tự nguyện</w:t>
      </w:r>
    </w:p>
    <w:p w:rsidR="00CB6ACB" w:rsidRDefault="00607F1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5856"/>
        <w:gridCol w:w="779"/>
        <w:gridCol w:w="1126"/>
      </w:tblGrid>
      <w:tr w:rsidR="00CB6ACB">
        <w:tblPrEx>
          <w:tblCellMar>
            <w:top w:w="0" w:type="dxa"/>
            <w:bottom w:w="0" w:type="dxa"/>
          </w:tblCellMar>
        </w:tblPrEx>
        <w:tc>
          <w:tcPr>
            <w:tcW w:w="20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Số ký hiệu</w:t>
            </w:r>
          </w:p>
        </w:tc>
        <w:tc>
          <w:tcPr>
            <w:tcW w:w="35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Trích yếu</w:t>
            </w:r>
          </w:p>
        </w:tc>
        <w:tc>
          <w:tcPr>
            <w:tcW w:w="15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Ngày ban hành</w:t>
            </w:r>
          </w:p>
        </w:tc>
        <w:tc>
          <w:tcPr>
            <w:tcW w:w="3000" w:type="dxa"/>
          </w:tcPr>
          <w:p w:rsidR="00CB6ACB" w:rsidRDefault="00CB6ACB"/>
          <w:p w:rsidR="00CB6ACB" w:rsidRDefault="00607F11">
            <w:pPr>
              <w:spacing w:after="0" w:line="276" w:lineRule="auto"/>
              <w:jc w:val="center"/>
            </w:pPr>
            <w:r>
              <w:rPr>
                <w:rFonts w:ascii="Times New Roman" w:eastAsia="Times New Roman" w:hAnsi="Times New Roman" w:cs="Times New Roman"/>
                <w:b/>
                <w:sz w:val="26"/>
              </w:rPr>
              <w:t>Cơ quan ban hành</w:t>
            </w:r>
          </w:p>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73/2021/QH14</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Luật 73/2021/QH14</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30-03-2021</w:t>
            </w:r>
          </w:p>
        </w:tc>
        <w:tc>
          <w:tcPr>
            <w:tcW w:w="0" w:type="auto"/>
          </w:tcPr>
          <w:p w:rsidR="00CB6ACB" w:rsidRDefault="00CB6ACB"/>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116/2021/NĐ-CP</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Nghị định 116/2021/NĐ-CP</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21-12-2021</w:t>
            </w:r>
          </w:p>
        </w:tc>
        <w:tc>
          <w:tcPr>
            <w:tcW w:w="0" w:type="auto"/>
          </w:tcPr>
          <w:p w:rsidR="00CB6ACB" w:rsidRDefault="00CB6ACB"/>
        </w:tc>
      </w:tr>
      <w:tr w:rsidR="00CB6ACB">
        <w:tblPrEx>
          <w:tblCellMar>
            <w:top w:w="0" w:type="dxa"/>
            <w:bottom w:w="0" w:type="dxa"/>
          </w:tblCellMar>
        </w:tblPrEx>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184/2025/NĐ-CP</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01-07-2025</w:t>
            </w:r>
          </w:p>
        </w:tc>
        <w:tc>
          <w:tcPr>
            <w:tcW w:w="0" w:type="auto"/>
          </w:tcPr>
          <w:p w:rsidR="00CB6ACB" w:rsidRDefault="00CB6ACB"/>
          <w:p w:rsidR="00CB6ACB" w:rsidRDefault="00607F11">
            <w:pPr>
              <w:spacing w:after="0" w:line="276" w:lineRule="auto"/>
            </w:pPr>
            <w:r>
              <w:rPr>
                <w:rFonts w:ascii="Times New Roman" w:eastAsia="Times New Roman" w:hAnsi="Times New Roman" w:cs="Times New Roman"/>
                <w:sz w:val="26"/>
              </w:rPr>
              <w:t>Chính phủ</w:t>
            </w:r>
          </w:p>
        </w:tc>
      </w:tr>
    </w:tbl>
    <w:p w:rsidR="00CB6ACB" w:rsidRDefault="00607F1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cai nghiện được đề nghị cấp lại giấy phép cai nghiện ma túy khi thuộc một trong các trường hợp sau: - Giấy phép bị mất, hỏng; - Thay đổi người đứng đầu hoặc người đại diện theo pháp luật; - Thay đổi địa điểm trụ sở của cơ sở cai nghiện ma túy tự nguyện; - Hết thời hạn đình chỉ hoạt động theo quy định tại Điều 13 Nghị định số 116/2021/NĐ-CP.</w:t>
      </w:r>
    </w:p>
    <w:p w:rsidR="00CB6ACB" w:rsidRDefault="00607F1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B6ACB" w:rsidRDefault="00607F1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https://thutuc.dichvucong.gov.vn/p/home/dvc-tthc-thu-tuc-hanh-chinh-chi-tiet.html?ma_thu_tuc=415760</w:t>
      </w:r>
    </w:p>
    <w:sectPr w:rsidR="00CB6AC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B6ACB"/>
    <w:rsid w:val="00607F11"/>
    <w:rsid w:val="00CB6ACB"/>
    <w:rsid w:val="00F17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C99D62-3CA9-40D9-A147-B844F7CA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2025-11-24T09:36:00Z</dcterms:created>
  <dcterms:modified xsi:type="dcterms:W3CDTF">2025-11-24T09:36:00Z</dcterms:modified>
</cp:coreProperties>
</file>