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nước ngoài nộp hồ sơ chấm dứt hoạt động Chi nhánh trực tiếp hoặc qua đường bưu điện hoặc trực tuyến (nếu đủ điều kiện áp dụng) đến Ủy ban nhân dân cấp tỉnh.
- Trong thời hạn 03 ngày làm việc kể từ ngày nhận được hồ sơ, Ủy ban nhân dân cấp tỉnh kiểm tra và yêu cầu bổ sung nếu hồ sơ chưa đầy đủ, hợp lệ. Việc yêu cầu bổ sung hồ sơ được thực hiện tối đa một lần trong suốt quá trình giải quyết hồ sơ.
- Trong thời hạn 05 ngày làm việc kể từ ngày nhận đủ hồ sơ hợp lệ, Ủy ban nhân dân cấp tỉnh có trách nhiệm công bố trên trang thông tin điện tử của mình về việc chấm dứt hoạt động của Chi nhánh.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internet</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về việc chấm dứt hoạt động Văn phòng đại diện, Chi nhánh theo mẫu của Bộ Công Thương do đại diện có thẩm quyền của thương nhân nước ngoài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sách chủ nợ và số nợ chưa thanh toán, gồm cả nợ thuế và nợ tiền đóng bảo hiểm xã hội;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lao động và quyền lợi tương ứng hiện hành của người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thành lập Chi nhánh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chấm dứt hoạt động của Chi nhánh của thương nhân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07/2016/NĐ-CP</w:t>
            </w:r>
          </w:p>
        </w:tc>
        <w:tc>
          <w:p/>
          <w:p>
            <w:pPr>
              <w:spacing w:after="0" w:before="0" w:lineRule="auto" w:line="276"/>
              <w:jc w:val="left"/>
            </w:pPr>
            <w:r>
              <w:rPr>
                <w:rFonts w:ascii="Times New Roman" w:hAnsi="Times New Roman" w:cs="Times New Roman" w:eastAsia="Times New Roman"/>
                <w:b w:val="false"/>
                <w:sz w:val="26"/>
              </w:rPr>
              <w:t>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25-01-2016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11/2016/TT-BCT</w:t>
            </w:r>
          </w:p>
        </w:tc>
        <w:tc>
          <w:p/>
          <w:p>
            <w:pPr>
              <w:spacing w:after="0" w:before="0" w:lineRule="auto" w:line="276"/>
              <w:jc w:val="left"/>
            </w:pPr>
            <w:r>
              <w:rPr>
                <w:rFonts w:ascii="Times New Roman" w:hAnsi="Times New Roman" w:cs="Times New Roman" w:eastAsia="Times New Roman"/>
                <w:b w:val="false"/>
                <w:sz w:val="26"/>
              </w:rPr>
              <w:t>quy định biểu mẫu thực hiện Nghị định số 07/2016/NĐ-CP ngày 25 tháng 01 năm 2016 của Chính phủ quy định chi tiết Luật Thương mại về Văn phòng đại diện, Chi nhánh của thương nhân nước ngoài tại Việt Nam</w:t>
            </w:r>
          </w:p>
        </w:tc>
        <w:tc>
          <w:p/>
          <w:p>
            <w:pPr>
              <w:spacing w:after="0" w:before="0" w:lineRule="auto" w:line="276"/>
              <w:jc w:val="left"/>
            </w:pPr>
            <w:r>
              <w:rPr>
                <w:rFonts w:ascii="Times New Roman" w:hAnsi="Times New Roman" w:cs="Times New Roman" w:eastAsia="Times New Roman"/>
                <w:b w:val="false"/>
                <w:sz w:val="26"/>
              </w:rPr>
              <w:t>05-07-2016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Thương nhân nước ngoài được thành lập, đăng ký kinh doanh theo quy định của pháp luật quốc gia, vùng lãnh thổ tham gia Điều ước quốc tế mà Việt Nam là thành viên hoặc được pháp luật các quốc gia, vùng lãnh thổ này công nhận;
2. Thương nhân nước ngoài đã hoạt động ít nhất 05 năm, kể từ ngày được thành lập hoặc đăng ký;
3. Trong trường hợp Giấy đăng ký kinh doanh hoặc giấy tờ có giá trị tương đương của thương nhân nước ngoài có quy định thời hạn hoạt động thì thời hạn đó phải còn ít nhất là 01 năm tính từ ngày nộp hồ sơ;
4. Nội dung hoạt động của Chi nhánh phải phù hợp với cam kết mở cửa thị trường của Việt Nam trong các điều ước quốc tế mà Việt Nam là thành viên và phù hợp với ngành nghề kinh doanh của thương nhân nước ngoài;
5. Trường hợp nội dung hoạt động của Chi nhánh không phù hợp với cam kết của Việt Nam hoặc thương nhân nước ngoài không thuộc quốc gia, vùng lãnh thổ tham gia điều ước quốc tế mà Việt Nam là thành viên, việc thành lập Chi nhánh phải được sự chấp thuận của Bộ trưởng Bộ quản lý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2025-11-27T08:32:59Z</dcterms:created>
  <dc:creator>Apache POI</dc:creator>
</cp:coreProperties>
</file>