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nhập khẩu nguyên liệu thuốc lá, giấy cuốn điếu thuốc lá để sản xuất sản phẩm thuốc lá xuất khẩu hoặc gia công xuất khẩu sản phẩm thuốc lá</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nhập khẩu nguyên liệu thuốc lá, giấy cuốn điếu thuốc lá để sản xuất xuất khẩu hoặc gia công xuất khẩu sản phẩm thuốc lá cho Ủy ban nhân dân cấp tỉnh.
- Trong thời hạn 20 ngày kể từ ngày nhận đủ hồ sơ hợp lệ, Ủy ban nhân dân cấp tỉnh xem xét và chấp thuận cho doanh nghiệp được nhập khẩu nguyên liệu thuốc lá, giấy cuốn điếu thuốc lá để sản xuất xuất khẩu hoặc gia công xuất khẩu sản phẩm thuốc lá. Trường hợp doanh nghiệp không đáp ứng được điều kiện theo quy định, Ủy ban nhân dân cấp tỉnh sẽ có văn bản trả lời từ chối cấp phép và nêu rõ lý do;
- Trường hợp chưa đủ hồ sơ hợp lệ, trong vòng 07 ngày làm việc kể từ ngày tiếp nhận hồ sơ của doanh nghiệp, Ủy ban nhân dân cấp tỉnh có văn bản yêu cầu doanh nghiệp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ngày làm việc kể từ ngày nhận đủ hồ sơ hợp lệ của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nhập khẩu nguyên liệu thuốc lá, giấy cuốn điếu thuốc lá để sản xuất sản phẩm thuốc lá xuất khẩu hoặc gia công sản phẩm thuốc lá xuất khẩu</w:t>
            </w:r>
          </w:p>
        </w:tc>
        <w:tc>
          <w:p/>
          <w:p>
            <w:pPr>
              <w:spacing w:after="0" w:before="0" w:lineRule="auto" w:line="276"/>
              <w:jc w:val="left"/>
            </w:pPr>
            <w:r>
              <w:rPr>
                <w:rFonts w:ascii="Times New Roman" w:hAnsi="Times New Roman" w:cs="Times New Roman" w:eastAsia="Times New Roman"/>
                <w:b w:val="false"/>
                <w:sz w:val="26"/>
              </w:rPr>
              <w:t>Mau21.docx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sản xuất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sản xuất xuất khẩu hoặc gia công xuất khẩu sản phẩm thuốc lá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nhập khẩu nguyên liệu thuốc lá, giấy cuốn điếu thuốc lá để sản xuất sản phẩm thuốc lá xuất khẩu hoặc gia công xuất khẩu sản phẩm thuốc lá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67/2013/NĐ-CP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Phòng, chống tác hại của thuốc lá về kinh doanh thuốc lá</w:t>
            </w:r>
          </w:p>
        </w:tc>
        <w:tc>
          <w:p/>
          <w:p>
            <w:pPr>
              <w:spacing w:after="0" w:before="0" w:lineRule="auto" w:line="276"/>
              <w:jc w:val="left"/>
            </w:pPr>
            <w:r>
              <w:rPr>
                <w:rFonts w:ascii="Times New Roman" w:hAnsi="Times New Roman" w:cs="Times New Roman" w:eastAsia="Times New Roman"/>
                <w:b w:val="false"/>
                <w:sz w:val="26"/>
              </w:rPr>
              <w:t>27-06-2013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57/2018/TT-BCT</w:t>
            </w:r>
          </w:p>
        </w:tc>
        <w:tc>
          <w:p/>
          <w:p>
            <w:pPr>
              <w:spacing w:after="0" w:before="0" w:lineRule="auto" w:line="276"/>
              <w:jc w:val="left"/>
            </w:pPr>
            <w:r>
              <w:rPr>
                <w:rFonts w:ascii="Times New Roman" w:hAnsi="Times New Roman" w:cs="Times New Roman" w:eastAsia="Times New Roman"/>
                <w:b w:val="false"/>
                <w:sz w:val="26"/>
              </w:rPr>
              <w:t>Thông tư 57/2018/TT-BCT</w:t>
            </w:r>
          </w:p>
        </w:tc>
        <w:tc>
          <w:p/>
          <w:p>
            <w:pPr>
              <w:spacing w:after="0" w:before="0" w:lineRule="auto" w:line="276"/>
              <w:jc w:val="left"/>
            </w:pPr>
            <w:r>
              <w:rPr>
                <w:rFonts w:ascii="Times New Roman" w:hAnsi="Times New Roman" w:cs="Times New Roman" w:eastAsia="Times New Roman"/>
                <w:b w:val="false"/>
                <w:sz w:val="26"/>
              </w:rPr>
              <w:t>28-12-2018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43/2023/TT-BCT</w:t>
            </w:r>
          </w:p>
        </w:tc>
        <w:tc>
          <w:p/>
          <w:p>
            <w:pPr>
              <w:spacing w:after="0" w:before="0" w:lineRule="auto" w:line="276"/>
              <w:jc w:val="left"/>
            </w:pPr>
            <w:r>
              <w:rPr>
                <w:rFonts w:ascii="Times New Roman" w:hAnsi="Times New Roman" w:cs="Times New Roman" w:eastAsia="Times New Roman"/>
                <w:b w:val="false"/>
                <w:sz w:val="26"/>
              </w:rPr>
              <w:t>Thông tư số 43/2023/TT_BCT</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phép sản xuất sản phẩm thuốc lá;
- Hợp đồng sản xuất xuất khẩu hoặc gia công xuất khẩu sản phẩm thuốc lá;
- Được sự đồng ý của Bộ Công Thương.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Công nghiệp tiêu dùng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2025-11-27T08:33:13Z</dcterms:created>
  <dc:creator>Apache POI</dc:creator>
</cp:coreProperties>
</file>