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1.000224</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01/QĐ-BCT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Thông báo hàng hóa mới niêm yết trên Sở Giao dịch hàng hóa</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Sở giao dịch hàng hóa</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Sở Giao dịch hàng hóa có trách nhiệm thực hiện thủ tục thông báo hàng hóa mới niêm yết trên Sở Giao dịch hàng hóa trong trường hợp niêm yết các mặt hàng không thuộc danh mục hàng hóa bị cấm kinh doanh, hạn chế kinh doanh, kinh doanh có điều kiện trên Sở Giao dịch hàng hóa.</w:t>
      </w:r>
    </w:p>
    <w:p>
      <w:pPr>
        <w:spacing w:after="0" w:before="0" w:lineRule="auto" w:line="276"/>
        <w:jc w:val="both"/>
      </w:pPr>
      <w:r>
        <w:rPr>
          <w:rFonts w:ascii="Times New Roman" w:hAnsi="Times New Roman" w:cs="Times New Roman" w:eastAsia="Times New Roman"/>
          <w:b w:val="false"/>
          <w:sz w:val="26"/>
        </w:rPr>
        <w:t>- Sở Giao dịch hàng hóa nộp hồ sơ thông báo về việc niêm yết hàng hóa giao dịch trên Sở Giao dịch hàng hóa trực tiếp hoặc theo đường bưu điện  đến Bộ Công Thương theo địa chỉ: 54 Hai Bà Trưng, Quận Hoàn Kiếm, Hà Nội hoặc qua mạng điện tử của Bộ Công Thương.</w:t>
      </w:r>
    </w:p>
    <w:p>
      <w:pPr>
        <w:spacing w:after="0" w:before="0" w:lineRule="auto" w:line="276"/>
        <w:jc w:val="both"/>
      </w:pPr>
      <w:r>
        <w:rPr>
          <w:rFonts w:ascii="Times New Roman" w:hAnsi="Times New Roman" w:cs="Times New Roman" w:eastAsia="Times New Roman"/>
          <w:b w:val="false"/>
          <w:sz w:val="26"/>
        </w:rPr>
        <w:t>- Trong thời hạn 30 ngày kể từ ngày nhận được hồ sơ thông báo hợp lệ của Sở Giao dịch hàng hóa, Bộ Công Thương có văn bản phản hồi đến Sở Giao dịch hàng hóa nếu hồ sơ thông báo chưa đầy đủ. Quá thời hạn trên, nếu Sở Giao dịch hàng hóa không nhận được văn bản phản hồi từ Bộ Công Thương có nghĩa là hồ sơ đã đầy đủ, hợp lệ</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30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30 ngày làm việc kể từ ngày nhận được hồ sơ hợp lệ.</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30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30 ngày làm việc kể từ ngày nhận được hồ sơ hợp lệ.</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30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30 ngày làm việc kể từ ngày nhận được hồ sơ hợp lệ.</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- 01 Văn bản thông báo về việc niêm yết danh mục hàng hóa mới trên Sở Giao dịch hàng hóa</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- 01 Tài liệu đặc tả hợp đồng của từng loại hàng hóa dự kiến niêm yết trên Sở Giao dịch hàng hóa.</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Vụ Thị trường trong nước</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Trực tiếp hoặc qua đường bưu điện hoặc qua mạng điện tử của Bộ Công Thương</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Được phép niêm yết danh mục hàng hóa mới trên Sở Giao dịch hàng hóa.</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36/2005/QH11</w:t>
            </w:r>
          </w:p>
        </w:tc>
        <w:tc>
          <w:p/>
          <w:p>
            <w:pPr>
              <w:spacing w:after="0" w:before="0" w:lineRule="auto" w:line="276"/>
              <w:jc w:val="left"/>
            </w:pPr>
            <w:r>
              <w:rPr>
                <w:rFonts w:ascii="Times New Roman" w:hAnsi="Times New Roman" w:cs="Times New Roman" w:eastAsia="Times New Roman"/>
                <w:b w:val="false"/>
                <w:sz w:val="26"/>
              </w:rPr>
              <w:t>Luật 36/2005/QH11</w:t>
            </w:r>
          </w:p>
        </w:tc>
        <w:tc>
          <w:p/>
          <w:p>
            <w:pPr>
              <w:spacing w:after="0" w:before="0" w:lineRule="auto" w:line="276"/>
              <w:jc w:val="left"/>
            </w:pPr>
            <w:r>
              <w:rPr>
                <w:rFonts w:ascii="Times New Roman" w:hAnsi="Times New Roman" w:cs="Times New Roman" w:eastAsia="Times New Roman"/>
                <w:b w:val="false"/>
                <w:sz w:val="26"/>
              </w:rPr>
              <w:t>14-06-2005</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158/2006/NĐ-CP</w:t>
            </w:r>
          </w:p>
        </w:tc>
        <w:tc>
          <w:p/>
          <w:p>
            <w:pPr>
              <w:spacing w:after="0" w:before="0" w:lineRule="auto" w:line="276"/>
              <w:jc w:val="left"/>
            </w:pPr>
            <w:r>
              <w:rPr>
                <w:rFonts w:ascii="Times New Roman" w:hAnsi="Times New Roman" w:cs="Times New Roman" w:eastAsia="Times New Roman"/>
                <w:b w:val="false"/>
                <w:sz w:val="26"/>
              </w:rPr>
              <w:t>Nghị định 158/2006/NĐ-CP</w:t>
            </w:r>
          </w:p>
        </w:tc>
        <w:tc>
          <w:p/>
          <w:p>
            <w:pPr>
              <w:spacing w:after="0" w:before="0" w:lineRule="auto" w:line="276"/>
              <w:jc w:val="left"/>
            </w:pPr>
            <w:r>
              <w:rPr>
                <w:rFonts w:ascii="Times New Roman" w:hAnsi="Times New Roman" w:cs="Times New Roman" w:eastAsia="Times New Roman"/>
                <w:b w:val="false"/>
                <w:sz w:val="26"/>
              </w:rPr>
              <w:t>28-12-2006</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51/2018/NĐ-CP</w:t>
            </w:r>
          </w:p>
        </w:tc>
        <w:tc>
          <w:p/>
          <w:p>
            <w:pPr>
              <w:spacing w:after="0" w:before="0" w:lineRule="auto" w:line="276"/>
              <w:jc w:val="left"/>
            </w:pPr>
            <w:r>
              <w:rPr>
                <w:rFonts w:ascii="Times New Roman" w:hAnsi="Times New Roman" w:cs="Times New Roman" w:eastAsia="Times New Roman"/>
                <w:b w:val="false"/>
                <w:sz w:val="26"/>
              </w:rPr>
              <w:t>Nghị định 51/2018/NĐ-CP</w:t>
            </w:r>
          </w:p>
        </w:tc>
        <w:tc>
          <w:p/>
          <w:p>
            <w:pPr>
              <w:spacing w:after="0" w:before="0" w:lineRule="auto" w:line="276"/>
              <w:jc w:val="left"/>
            </w:pPr>
            <w:r>
              <w:rPr>
                <w:rFonts w:ascii="Times New Roman" w:hAnsi="Times New Roman" w:cs="Times New Roman" w:eastAsia="Times New Roman"/>
                <w:b w:val="false"/>
                <w:sz w:val="26"/>
              </w:rPr>
              <w:t>09-04-2018</w:t>
            </w:r>
          </w:p>
        </w:tc>
        <w:tc>
          <w:p/>
          <w:p>
            <w:pPr>
              <w:spacing w:after="0" w:before="0" w:lineRule="auto" w:line="276"/>
              <w:jc w:val="left"/>
            </w:pPr>
            <w:r>
              <w:rPr>
                <w:rFonts w:ascii="Times New Roman" w:hAnsi="Times New Roman" w:cs="Times New Roman" w:eastAsia="Times New Roman"/>
                <w:b w:val="false"/>
                <w:sz w:val="26"/>
              </w:rPr>
              <w:t>Chính phủ</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Sở giao dịch hàng hóa niêm yết hàng hóa giao dịch mới trên Sở Giao dịch hàng hóa</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Sở giao dịch hàng hóa</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https://thutuc.dichvucong.gov.vn/p/home/dvc-tthc-thu-tuc-hanh-chinh-chi-tiet.html?ma_thu_tuc=320</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2025-11-27T08:33:16Z</dcterms:created>
  <dc:creator>Apache POI</dc:creator>
</cp:coreProperties>
</file>