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1.000350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quyền xuất khẩu, quyền nhập khẩu của thương nhân nước ngoài không có hiện diện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nước ngoài không có hiện diện tại Việt Nam hoặc cá nhân, tổ chức kinh tế đại diện cho thương nhân không hiện diện tại Việt Nam gửi 01 bộ hồ sơ đề nghị cấp giấy chứng nhận đăng ký quyền xuất khẩu, quyền nhập khẩu của thương nhân nước ngoài không có hiện diện tại Việt Nam đến cơ quan cấp phép.
- Trường hợp hồ sơ không hợp lệ, trong thời hạn 07 ngày làm việc, kể từ ngày nhận được hồ sơ, cơ quan cấp phép phải thông báo cho thương nhân nước ngoài hoặc cá nhân, tổ chức kinh tế đại diện cho thương nhân không hiện diện tại Việt Nam để bổ sung hoặc làm lại hồ sơ.
- Trong thời hạn 30 ngày làm việc, kể từ ngày nhận được hồ sơ hợp lệ, cơ quan cấp phép có trách nhiệm cấp Giấy chứng nhận đăng ký quyền xuất khẩu, quyền nhập khẩu cho thương nhân nước ngoài. Trong trường hợp từ chối không cấp Giấy chứng nhận đăng ký quyền xuất khẩu, quyền nhập khẩu, cũng trong thời gian ghi ở khoản này, cơ quan cấp phép phải thông báo cho thương nhân nước ngoài hoặc cá nhân, tổ chức kinh tế đại diện cho thương nhân không hiện diện tại Việt Nam bằng văn bản và nêu rõ lý do.
- Trong thời hạn 05 ngày làm việc, kể từ ngày được cấp Giấy chứng nhận đăng ký quyền xuất khẩu, quyền nhập khẩu, thương nhân nước ngoài không có hiện diện tại Việt Nam phải công bố công khai các nội dung được ghi trong Giấy chứng nhận đăng ký quyền xuất khẩu, quyền nhập khẩu của mình trong ba số liên tiếp trên các phương tiện thông tin đại chúng hoặc trên một trong các loại tờ báo viết được phổ biến toàn quốc tại Việt Nam.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(ba mươi)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(ba mươi)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(ba mươi)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Một (01) bộ</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cấp Giấy chứng nhận đăng ký quyền xuất khẩu, quyền nhập khẩu thực hiện theo Mẫu MĐ-1 Phụ lục I ban hành kèm theo Thông tư số 28/2012/TT-BCT</w:t>
            </w:r>
          </w:p>
        </w:tc>
        <w:tc>
          <w:p/>
          <w:p>
            <w:pPr>
              <w:spacing w:after="0" w:before="0" w:lineRule="auto" w:line="276"/>
              <w:jc w:val="left"/>
            </w:pPr>
            <w:r>
              <w:rPr>
                <w:rFonts w:ascii="Times New Roman" w:hAnsi="Times New Roman" w:cs="Times New Roman" w:eastAsia="Times New Roman"/>
                <w:b w:val="false"/>
                <w:sz w:val="26"/>
              </w:rPr>
              <w:t>Denghicapchungnhan.docx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giải trình và hồ sơ chứng minh việc đáp ứng các điều kiện quy định tại Điều 7 Nghị định số 90/2007/NĐ-CP của Chính phủ: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sao giấy chứng minh thư, hộ chiếu hoặc chứng thực cá nhân hợp pháp khác đối với thương nhân nước ngoài là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Bản sao Giấy chứng nhận đăng ký kinh doanh hoặc giấy tờ khác có giá trị tương đương và bản sao giấy chứng minh thư, hộ chiếu hoặc chứng thực cá nhân hợp pháp khác của người đại diện theo pháp luật; báo cáo tài chính và hoạt động của năm trước đó đối với thương nhân nước ngoài là tổ chức kinh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Văn bản xác nhận vốn kinh doanh, số tài khoản tại ngân hàng nơi thương nhân nước ngoài mở tài khoản ở quốc gia hoặc vùng lãnh thổ mà thương nhân nước ngoài đăng ký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f. Hồ sơ đề nghị cấp phép phải được lập bằng cả tiếng Anh và tiếng Việt và phải được cơ quan đại diện ngoại giao của Việt Nam ở nước ngoài hoặc cơ quan đại diện ngoại giao của nước ngoài tại Việt Nam chứng nhận và thực hiện hợp pháp hoá lãnh sự theo quy định của pháp luật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chứng nhận đăng ký quyền xuất khẩu, quyền nhập khẩu của thương nhân nước ngoài không có hiện diện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23/2007/NĐ-CP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hoạt động mua bán hàng hoá và các hoạt động liên quan trực tiếp đến mua bán hàng hoá của doanh nghiệp có vốn đầu tư nước ngoài tại Việt Nam</w:t>
            </w:r>
          </w:p>
        </w:tc>
        <w:tc>
          <w:p/>
          <w:p>
            <w:pPr>
              <w:spacing w:after="0" w:before="0" w:lineRule="auto" w:line="276"/>
              <w:jc w:val="left"/>
            </w:pPr>
            <w:r>
              <w:rPr>
                <w:rFonts w:ascii="Times New Roman" w:hAnsi="Times New Roman" w:cs="Times New Roman" w:eastAsia="Times New Roman"/>
                <w:b w:val="false"/>
                <w:sz w:val="26"/>
              </w:rPr>
              <w:t>12-02-2007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90/2007/NĐ-CP</w:t>
            </w:r>
          </w:p>
        </w:tc>
        <w:tc>
          <w:p/>
          <w:p>
            <w:pPr>
              <w:spacing w:after="0" w:before="0" w:lineRule="auto" w:line="276"/>
              <w:jc w:val="left"/>
            </w:pPr>
            <w:r>
              <w:rPr>
                <w:rFonts w:ascii="Times New Roman" w:hAnsi="Times New Roman" w:cs="Times New Roman" w:eastAsia="Times New Roman"/>
                <w:b w:val="false"/>
                <w:sz w:val="26"/>
              </w:rPr>
              <w:t>Quy định về quyền xuất khẩu, quyền nhập khẩu của thương nhân nước ngoài không có hiện diện tại Việt Nam</w:t>
            </w:r>
          </w:p>
        </w:tc>
        <w:tc>
          <w:p/>
          <w:p>
            <w:pPr>
              <w:spacing w:after="0" w:before="0" w:lineRule="auto" w:line="276"/>
              <w:jc w:val="left"/>
            </w:pPr>
            <w:r>
              <w:rPr>
                <w:rFonts w:ascii="Times New Roman" w:hAnsi="Times New Roman" w:cs="Times New Roman" w:eastAsia="Times New Roman"/>
                <w:b w:val="false"/>
                <w:sz w:val="26"/>
              </w:rPr>
              <w:t>31-05-2007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28/2012/TT-BCT</w:t>
            </w:r>
          </w:p>
        </w:tc>
        <w:tc>
          <w:p/>
          <w:p>
            <w:pPr>
              <w:spacing w:after="0" w:before="0" w:lineRule="auto" w:line="276"/>
              <w:jc w:val="left"/>
            </w:pPr>
            <w:r>
              <w:rPr>
                <w:rFonts w:ascii="Times New Roman" w:hAnsi="Times New Roman" w:cs="Times New Roman" w:eastAsia="Times New Roman"/>
                <w:b w:val="false"/>
                <w:sz w:val="26"/>
              </w:rPr>
              <w:t>Quy định chi tiết việc đăng ký quyền xuất khẩu, quyền nhập khẩu của thương nhân nước ngoài không có hiện diện tại Việt Nam</w:t>
            </w:r>
          </w:p>
        </w:tc>
        <w:tc>
          <w:p/>
          <w:p>
            <w:pPr>
              <w:spacing w:after="0" w:before="0" w:lineRule="auto" w:line="276"/>
              <w:jc w:val="left"/>
            </w:pPr>
            <w:r>
              <w:rPr>
                <w:rFonts w:ascii="Times New Roman" w:hAnsi="Times New Roman" w:cs="Times New Roman" w:eastAsia="Times New Roman"/>
                <w:b w:val="false"/>
                <w:sz w:val="26"/>
              </w:rPr>
              <w:t>27-09-2012</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28/2012/TT-BCT</w:t>
            </w:r>
          </w:p>
        </w:tc>
        <w:tc>
          <w:p/>
          <w:p>
            <w:pPr>
              <w:spacing w:after="0" w:before="0" w:lineRule="auto" w:line="276"/>
              <w:jc w:val="left"/>
            </w:pPr>
            <w:r>
              <w:rPr>
                <w:rFonts w:ascii="Times New Roman" w:hAnsi="Times New Roman" w:cs="Times New Roman" w:eastAsia="Times New Roman"/>
                <w:b w:val="false"/>
                <w:sz w:val="26"/>
              </w:rPr>
              <w:t>Quy định chi tiết việc đăng ký quyền xuất khẩu, quyền nhập khẩu của thương nhân nước ngoài không có hiện diện tại Việt Nam</w:t>
            </w:r>
          </w:p>
        </w:tc>
        <w:tc>
          <w:p/>
          <w:p>
            <w:pPr>
              <w:spacing w:after="0" w:before="0" w:lineRule="auto" w:line="276"/>
              <w:jc w:val="left"/>
            </w:pPr>
            <w:r>
              <w:rPr>
                <w:rFonts w:ascii="Times New Roman" w:hAnsi="Times New Roman" w:cs="Times New Roman" w:eastAsia="Times New Roman"/>
                <w:b w:val="false"/>
                <w:sz w:val="26"/>
              </w:rPr>
              <w:t>27-09-2012</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28/2012/TT-BCT</w:t>
            </w:r>
          </w:p>
        </w:tc>
        <w:tc>
          <w:p/>
          <w:p>
            <w:pPr>
              <w:spacing w:after="0" w:before="0" w:lineRule="auto" w:line="276"/>
              <w:jc w:val="left"/>
            </w:pPr>
            <w:r>
              <w:rPr>
                <w:rFonts w:ascii="Times New Roman" w:hAnsi="Times New Roman" w:cs="Times New Roman" w:eastAsia="Times New Roman"/>
                <w:b w:val="false"/>
                <w:sz w:val="26"/>
              </w:rPr>
              <w:t>Quy định chi tiết việc đăng ký quyền xuất khẩu, quyền nhập khẩu của thương nhân nước ngoài không có hiện diện tại Việt Nam</w:t>
            </w:r>
          </w:p>
        </w:tc>
        <w:tc>
          <w:p/>
          <w:p>
            <w:pPr>
              <w:spacing w:after="0" w:before="0" w:lineRule="auto" w:line="276"/>
              <w:jc w:val="left"/>
            </w:pPr>
            <w:r>
              <w:rPr>
                <w:rFonts w:ascii="Times New Roman" w:hAnsi="Times New Roman" w:cs="Times New Roman" w:eastAsia="Times New Roman"/>
                <w:b w:val="false"/>
                <w:sz w:val="26"/>
              </w:rPr>
              <w:t>27-09-2012</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Áp dụng thủ tục cấp Giấy chứng nhận đăng ký quyền xuất khẩu, quyền nhập khẩu đối với thương nhân nước ngoài thuộc các nước, vùng lãnh thổ là thành viên của Tổ chức Thương mại thế giới WTO và các nước, vùng lãnh thổ có thỏa thuận song phương với Việt Nam về quyền xuất khẩu, quyền nhập khẩu và các tổ chức, cá nhân khác có liên quan đến hoạt động xuất khẩu, nhập khẩu của thương nhân nước ngoài không có hiện diện tại Việt Nam.
2. Thủ tục cấp Giấy chứng nhận đăng ký quyền xuất khẩu, quyền nhập khẩu không điều chỉnh hoạt động kinh doanh tại chợ biên giới, chợ cửa khẩu, chợ trong khu kinh tế cửa khẩu của thương nhân nước có chung đường biên giới.	 	 
3. Thương nhân nước ngoài không có hiện diện tại Việt Nam được cấp Giấy chứng nhận đăng ký quyền xuất khẩu, quyền nhập khẩu thực hiện quyền xuất khẩu như sau:
+ Được xuất khẩu các mặt hàng không thuộc danh mục hàng hóa cấm xuất khẩu, danh mục hàng hóa tạm ngừng xuất khẩu, danh mục hàng hóa không được quyền xuất khẩu theo cam kết quốc tế. Đối với hàng hóa xuất khẩu có điều kiện phải đáp ứng các điều kiện theo quy định của pháp luật;
+ Đối với hàng hóa xuất khẩu thuộc danh mục hàng hóa xuất khẩu theo lộ trình trong các cam kết quốc tế, thực hiện theo lộ trình cam kết;
+ Được trực tiếp làm thủ tục xuất khẩu hàng hóa tại cơ quan Hải quan theo quy định của pháp luật trên cơ sở hợp đồng mua hàng ký với thương nhân Việt Nam;
+ Mặt hàng xuất khẩu phải phù hợp với nội dung Giấy chứng nhận đăng ký quyền xuất khẩu, quyền nhập khẩu.
+ Thương nhân không hiện diện chỉ được trực tiếp mua hàng hóa của thương nhân Việt Nam có đăng ký kinh doanh hoặc có quyền xuất khẩu hoặc quyền phân phối hàng hóa đó để xuất khẩu; không được tổ chức mạng lưới mua gom hàng hóa tại Việt Nam để xuất khẩu, bao gồm việc mở địa điểm để mua gom hàng hóa xuất khẩu, trừ trường hợp pháp luật Việt Nam hoặc điều ước quốc tế mà Cộng hòa xã hội chủ nghĩa Việt Nam là thành viên có quy định khác.	 	 
4. Thương nhân không hiện diện đã được cấp Giấy chứng nhận đăng ký quyền xuất khẩu, quyền nhập khẩu thực hiện quyền nhập khẩu như sau:
+ Được nhập khẩu các mặt hàng không thuộc danh mục hàng hóa cấm nhập khẩu, danh mục hàng hóa tạm ngừng nhập khẩu, danh mục hàng hóa không được quyền nhập khẩu theo cam kết quốc tế. Đối với hàng hóa nhập khẩu có điều kiện phải đáp ứng các điều kiện theo quy định của pháp luật;
+ Đối với hàng hóa nhập khẩu thuộc danh mục hàng hóa nhập khẩu theo lộ trình trong các cam kết quốc tế, thực hiện theo lộ trình cam kết;
+ Được trực tiếp làm thủ tục nhập khẩu hàng hóa tại cơ quan Hải quan theo quy định của pháp luật trên cơ sở hợp đồng bán hàng ký với thương nhân Việt Nam;
+ Mặt hàng nhập khẩu phải phù hợp với nội dung Giấy chứng nhận đăng ký quyền xuất khẩu, quyền nhập khẩu.
+ Thương nhân không hiện diện chỉ được trực tiếp bán hàng nhập khẩu cho các thương nhân Việt Nam có đăng ký kinh doanh hoặc có quyền phân phối hàng hóa đó, không được tổ chức hoặc tham gia hệ thống phân phối hàng hóa tại Việt Nam, trừ trường hợp pháp luật Việt Nam hoặc điều ước quốc tế mà Cộng hòa xã hội chủ nghĩa Việt Nam là thành viên có quy định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https://thutuc.dichvucong.gov.vn/p/home/dvc-tthc-thu-tuc-hanh-chinh-chi-tiet.html?ma_thu_tuc=477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2025-11-27T08:33:48Z</dcterms:created>
  <dc:creator>Apache POI</dc:creator>
</cp:coreProperties>
</file>