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1.000361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thành lập Chi nhánh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Thương nhân nước ngoài nộp hồ sơ trực tiếp hoặc qua đường bưu điện hoặc trực tuyến (nếu đủ điều kiện áp dụng) đến Ủy ban nhân dân cấp tỉnh.
2. Trong thời hạn 03 ngày làm việc kể từ ngày nhận được hồ sơ, Ủy ban nhân dân cấp tỉnh kiểm tra và yêu cầu bổ sung nếu hồ sơ chưa đầy đủ, hợp lệ. Việc yêu cầu bổ sung hồ sơ được thực hiện tối đa một lần trong suốt quá trình giải quyết hồ sơ.
3. Trong thời hạn 05 ngày làm việc kể từ ngày nhận đủ hồ sơ hợp lệ, Ủy ban nhân dân cấp tỉnh cấp lại Giấy phép thành lập Chi nhánh. Trường hợp không cấp lại phải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Nộp trực tiếp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internet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điện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Giấy phép thành lập Chi nhánh theo mẫu của Bộ Công Thương do đại diện có thẩm quyền của thương nhân nước ngoài ký.</w:t>
            </w:r>
          </w:p>
        </w:tc>
        <w:tc>
          <w:p/>
          <w:p>
            <w:pPr>
              <w:spacing w:after="0" w:before="0" w:lineRule="auto" w:line="276"/>
              <w:jc w:val="left"/>
            </w:pPr>
            <w:r>
              <w:rPr>
                <w:rFonts w:ascii="Times New Roman" w:hAnsi="Times New Roman" w:cs="Times New Roman" w:eastAsia="Times New Roman"/>
                <w:b w:val="false"/>
                <w:sz w:val="26"/>
              </w:rPr>
              <w:t>Caplaincngoai.docx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CẤP LẠI THÀNH LẬP CHI NHÁNH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nước ngoài đã được cấp Giấy phép thành lập Chi nhánh được cấp lại trong trường hợp Giấy phép thành lập Chi nhánh bị mất, bị hủy hoại, bị hư hỏng hoặc bị tiêu hủy dưới mọi hình thức.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https://thutuc.dichvucong.gov.vn/p/home/dvc-tthc-thu-tuc-hanh-chinh-chi-tiet.html?ma_thu_tuc=500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2025-11-27T08:32:39Z</dcterms:created>
  <dc:creator>Apache POI</dc:creator>
</cp:coreProperties>
</file>