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nhập khẩu tự động thuốc lá điếu, xì gà</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1 (một) bộ hồ sơ xin cấp Giấy phép qua đường bưu điện đến Cơ quan có thẩm quyền
Cơ quan có thẩm quyền kiểm tra tính hợp lệ, đầy đủ của hồ sơ. Trường hợp hồ sơ đầy đủ, hợp lệ, trong thời hạn 05 ngày làm việc, Cơ quan có thẩm quyền cấp giấy phép nhập khẩu tự động
Trường hợp hồ sơ không đầy đủ, hợp lệ hoặc không đồng ý xác nhận, Cơ quan có thẩm quyền thông báo bằng văn bản cho thương nhân để hoàn chỉnh hồ sơ hoặc nêu rõ lý do không xác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5 (năm) ngày làm việc, kể từ ngày nhận được hồ sơ đầy đủ, hợp lệ của thương nhân, Cục Xuất nhập khẩu - Bộ Công Thương tiến hành xác nhận Đơn đăng ký nhập khẩu tự động thuốc lá điếu, xì gà. Trường hợp hồ sơ chưa đầy đủ, hợp lệ hoặc trường hợp không xác nhận, Cục Xuất nhập khẩu - Bộ Công Thương có văn bản thông báo cho thương nhân bổ sung hồ sơ hoặc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5 (năm) ngày làm việc, kể từ ngày nhận được hồ sơ đầy đủ, hợp lệ của thương nhân, Cục Xuất nhập khẩu - Bộ Công Thương tiến hành xác nhận Đơn đăng ký nhập khẩu tự động thuốc lá điếu, xì gà. Trường hợp hồ sơ chưa đầy đủ, hợp lệ hoặc trường hợp không xác nhận, Cục Xuất nhập khẩu - Bộ Công Thương có văn bản thông báo cho thương nhân bổ sung hồ sơ hoặc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5 (năm) ngày làm việc, kể từ ngày nhận được hồ sơ đầy đủ, hợp lệ của thương nhân, Cục Xuất nhập khẩu - Bộ Công Thương tiến hành xác nhận Đơn đăng ký nhập khẩu tự động thuốc lá điếu, xì gà. Trường hợp hồ sơ chưa đầy đủ, hợp lệ hoặc trường hợp không xác nhận, Cục Xuất nhập khẩu - Bộ Công Thương có văn bản thông báo cho thương nhân bổ sung hồ sơ hoặc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Hợp đồng nhập khẩu: 1 (một)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Hóa đơn thương mại: 1 (một)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Vận đơn hoặc chứng từ vận tải của lô hàng: 1 (một)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đăng ký nhập khẩu tự động thuốc lá điếu, xì gà: 2 (hai) bản theo mẫu quy định tại Phụ lục II</w:t>
            </w:r>
          </w:p>
        </w:tc>
        <w:tc>
          <w:p/>
          <w:p>
            <w:pPr>
              <w:spacing w:after="0" w:before="0" w:lineRule="auto" w:line="276"/>
              <w:jc w:val="left"/>
            </w:pPr>
            <w:r>
              <w:rPr>
                <w:rFonts w:ascii="Times New Roman" w:hAnsi="Times New Roman" w:cs="Times New Roman" w:eastAsia="Times New Roman"/>
                <w:b w:val="false"/>
                <w:sz w:val="26"/>
              </w:rPr>
              <w:t>ThuocLaDieu.docx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nhập khẩu tự động thuốc lá điếu, xì gà</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37/2013/TT-BCT</w:t>
            </w:r>
          </w:p>
        </w:tc>
        <w:tc>
          <w:p/>
          <w:p>
            <w:pPr>
              <w:spacing w:after="0" w:before="0" w:lineRule="auto" w:line="276"/>
              <w:jc w:val="left"/>
            </w:pPr>
            <w:r>
              <w:rPr>
                <w:rFonts w:ascii="Times New Roman" w:hAnsi="Times New Roman" w:cs="Times New Roman" w:eastAsia="Times New Roman"/>
                <w:b w:val="false"/>
                <w:sz w:val="26"/>
              </w:rPr>
              <w:t>Quy định nhập khẩu thuốc lá điếu, xì gà</w:t>
            </w:r>
          </w:p>
        </w:tc>
        <w:tc>
          <w:p/>
          <w:p>
            <w:pPr>
              <w:spacing w:after="0" w:before="0" w:lineRule="auto" w:line="276"/>
              <w:jc w:val="left"/>
            </w:pPr>
            <w:r>
              <w:rPr>
                <w:rFonts w:ascii="Times New Roman" w:hAnsi="Times New Roman" w:cs="Times New Roman" w:eastAsia="Times New Roman"/>
                <w:b w:val="false"/>
                <w:sz w:val="26"/>
              </w:rPr>
              <w:t>30-12-2013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2025-11-27T08:34:03Z</dcterms:created>
  <dc:creator>Apache POI</dc:creator>
</cp:coreProperties>
</file>