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CNG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Thương nhân gửi 01 (một) bộ hồ sơ đề nghị cấp lại Giấy chứng nhận đủ Điều kiện trực tiếp hoặc qua đường bưu điện hoặc qua mạng điện tử đến Sở Công Thương. </w:t>
      </w:r>
    </w:p>
    <w:p>
      <w:pPr>
        <w:spacing w:after="0" w:before="0" w:lineRule="auto" w:line="276"/>
        <w:jc w:val="both"/>
      </w:pPr>
      <w:r>
        <w:rPr>
          <w:rFonts w:ascii="Times New Roman" w:hAnsi="Times New Roman" w:cs="Times New Roman" w:eastAsia="Times New Roman"/>
          <w:b w:val="false"/>
          <w:sz w:val="26"/>
        </w:rPr>
        <w:t>Trường hợp chưa đủ hồ sơ hợp lệ, trong vòng 07 (bảy) ngày làm việc kể từ ngày tiếp nhận hồ sơ của thương nhân, Sở Công Thương có văn bản yêu cầu thương nhân bổ sung.</w:t>
      </w:r>
    </w:p>
    <w:p>
      <w:pPr>
        <w:spacing w:after="0" w:before="0" w:lineRule="auto" w:line="276"/>
        <w:jc w:val="both"/>
      </w:pPr>
      <w:r>
        <w:rPr>
          <w:rFonts w:ascii="Times New Roman" w:hAnsi="Times New Roman" w:cs="Times New Roman" w:eastAsia="Times New Roman"/>
          <w:b w:val="false"/>
          <w:sz w:val="26"/>
        </w:rPr>
        <w:t>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2025-11-27T08:35:35Z</dcterms:created>
  <dc:creator>Apache POI</dc:creator>
</cp:coreProperties>
</file>