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1.000446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01/QĐ-BCT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Thông báo liên thông giao dịch qua Sở Giao dịch hàng hóa nước ngoài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Sở giao dịch hàng hóa</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Sở Giao dịch hàng hóa có trách nhiệm thực hiện thủ tục thông báo liên thông giao dịch qua Sở Giao dịch hàng hóa ở nước ngoài trong trường hợp Sở Giao dịch hàng hóa tại Việt Nam liên thông với Sở Giao dịch hàng hóa ở nước ngoài..</w:t>
      </w:r>
    </w:p>
    <w:p>
      <w:pPr>
        <w:spacing w:after="0" w:before="0" w:lineRule="auto" w:line="276"/>
        <w:jc w:val="both"/>
      </w:pPr>
      <w:r>
        <w:rPr>
          <w:rFonts w:ascii="Times New Roman" w:hAnsi="Times New Roman" w:cs="Times New Roman" w:eastAsia="Times New Roman"/>
          <w:b w:val="false"/>
          <w:sz w:val="26"/>
        </w:rPr>
        <w:t>- Sở Giao dịch hàng hóa nộp hồ sơ thông báo về việc liên thông với Sở Giao dịch hàng hóa ở nước ngoài chậm nhất 30 ngày kể từ ngày ký Biên bản hợp tác với Sở Giao dịch hàng hóa ở nước ngoài.</w:t>
      </w:r>
    </w:p>
    <w:p>
      <w:pPr>
        <w:spacing w:after="0" w:before="0" w:lineRule="auto" w:line="276"/>
        <w:jc w:val="both"/>
      </w:pPr>
      <w:r>
        <w:rPr>
          <w:rFonts w:ascii="Times New Roman" w:hAnsi="Times New Roman" w:cs="Times New Roman" w:eastAsia="Times New Roman"/>
          <w:b w:val="false"/>
          <w:sz w:val="26"/>
        </w:rPr>
        <w:t>- Trong thời hạn 30 ngày kể từ ngày nhận được hồ sơ thông báo của Sở Giao dịch hàng hóa về việc liên thông với Sở Giao dịch hàng hóa ở nước ngoài, Bộ Công Thương có văn bản phản hồi đến Sở Giao dịch hàng hóa nếu hồ sơ thông báo chưa đầy đủ. Sau thời hạn trên nếu Sở Giao dịch hàng hóa không nhận được văn bản phản hồi từ Bộ Công Thương có nghĩa là hồ sơ thông báo của Sở Giao dịch hàng hóa đã đầy đủ, hợp lệ.</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ngày nhận được hồ sơ, Bộ Công Thương không có văn bản phản hồi.</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ngày nhận được hồ sơ, Bộ Công Thương không có văn bản phản hồi.</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ngày nhận được hồ sơ, Bộ Công Thương không có văn bản phản hồi.</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- 01 văn bản thông báo về việc liên thông với Sở Giao dịch hàng hóa ở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- 01 biên bản hợp tác giữa Sở Giao dịch hàng hóa tại Việt nam với Sở Giao dịch hàng hóa ở nước ngoài hoặc thành viên kinh doanh của Sở Giao dịch hàng hóa ở nước ngoài có xác nhận của cơ quan đại diện của Việt Nam tại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Vụ Thị trường trong nước</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Được phép liên thông với Sở Giao dịch hàng hóa ở nước ngoài.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36/2005/QH11</w:t>
            </w:r>
          </w:p>
        </w:tc>
        <w:tc>
          <w:p/>
          <w:p>
            <w:pPr>
              <w:spacing w:after="0" w:before="0" w:lineRule="auto" w:line="276"/>
              <w:jc w:val="left"/>
            </w:pPr>
            <w:r>
              <w:rPr>
                <w:rFonts w:ascii="Times New Roman" w:hAnsi="Times New Roman" w:cs="Times New Roman" w:eastAsia="Times New Roman"/>
                <w:b w:val="false"/>
                <w:sz w:val="26"/>
              </w:rPr>
              <w:t>Luật 36/2005/QH11</w:t>
            </w:r>
          </w:p>
        </w:tc>
        <w:tc>
          <w:p/>
          <w:p>
            <w:pPr>
              <w:spacing w:after="0" w:before="0" w:lineRule="auto" w:line="276"/>
              <w:jc w:val="left"/>
            </w:pPr>
            <w:r>
              <w:rPr>
                <w:rFonts w:ascii="Times New Roman" w:hAnsi="Times New Roman" w:cs="Times New Roman" w:eastAsia="Times New Roman"/>
                <w:b w:val="false"/>
                <w:sz w:val="26"/>
              </w:rPr>
              <w:t>14-06-2005</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158/2006/NĐ-CP</w:t>
            </w:r>
          </w:p>
        </w:tc>
        <w:tc>
          <w:p/>
          <w:p>
            <w:pPr>
              <w:spacing w:after="0" w:before="0" w:lineRule="auto" w:line="276"/>
              <w:jc w:val="left"/>
            </w:pPr>
            <w:r>
              <w:rPr>
                <w:rFonts w:ascii="Times New Roman" w:hAnsi="Times New Roman" w:cs="Times New Roman" w:eastAsia="Times New Roman"/>
                <w:b w:val="false"/>
                <w:sz w:val="26"/>
              </w:rPr>
              <w:t>Nghị định 158/2006/NĐ-CP</w:t>
            </w:r>
          </w:p>
        </w:tc>
        <w:tc>
          <w:p/>
          <w:p>
            <w:pPr>
              <w:spacing w:after="0" w:before="0" w:lineRule="auto" w:line="276"/>
              <w:jc w:val="left"/>
            </w:pPr>
            <w:r>
              <w:rPr>
                <w:rFonts w:ascii="Times New Roman" w:hAnsi="Times New Roman" w:cs="Times New Roman" w:eastAsia="Times New Roman"/>
                <w:b w:val="false"/>
                <w:sz w:val="26"/>
              </w:rPr>
              <w:t>28-12-2006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51/2018/NĐ-CP</w:t>
            </w:r>
          </w:p>
        </w:tc>
        <w:tc>
          <w:p/>
          <w:p>
            <w:pPr>
              <w:spacing w:after="0" w:before="0" w:lineRule="auto" w:line="276"/>
              <w:jc w:val="left"/>
            </w:pPr>
            <w:r>
              <w:rPr>
                <w:rFonts w:ascii="Times New Roman" w:hAnsi="Times New Roman" w:cs="Times New Roman" w:eastAsia="Times New Roman"/>
                <w:b w:val="false"/>
                <w:sz w:val="26"/>
              </w:rPr>
              <w:t>Nghị định 51/2018/NĐ-CP</w:t>
            </w:r>
          </w:p>
        </w:tc>
        <w:tc>
          <w:p/>
          <w:p>
            <w:pPr>
              <w:spacing w:after="0" w:before="0" w:lineRule="auto" w:line="276"/>
              <w:jc w:val="left"/>
            </w:pPr>
            <w:r>
              <w:rPr>
                <w:rFonts w:ascii="Times New Roman" w:hAnsi="Times New Roman" w:cs="Times New Roman" w:eastAsia="Times New Roman"/>
                <w:b w:val="false"/>
                <w:sz w:val="26"/>
              </w:rPr>
              <w:t>09-04-2018</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Sở Giao dịch hàng hóa tại Việt Nam có liên thông với Sở Giao dịch hàng hóa ở nước ngoài</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https://thutuc.dichvucong.gov.vn/p/home/dvc-tthc-thu-tuc-hanh-chinh-chi-tiet.html?ma_thu_tuc=652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2025-11-27T08:35:48Z</dcterms:created>
  <dc:creator>Apache POI</dc:creator>
</cp:coreProperties>
</file>