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dịch vụ nổ mìn tại địa phương có phạm vi hoạt động giới hạn trong địa bàn đất liền của 01 (một) tỉnh hoặc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hồ sơ</w:t>
      </w:r>
    </w:p>
    <w:p>
      <w:pPr>
        <w:spacing w:after="0" w:before="0" w:lineRule="auto" w:line="276"/>
        <w:jc w:val="both"/>
      </w:pPr>
      <w:r>
        <w:rPr>
          <w:rFonts w:ascii="Times New Roman" w:hAnsi="Times New Roman" w:cs="Times New Roman" w:eastAsia="Times New Roman"/>
          <w:b w:val="false"/>
          <w:sz w:val="26"/>
        </w:rPr>
        <w:t>Khi có thay đổi phạm vi hoạt động dịch vụ nổ mìn, doanh nghiệp đề nghị cấp điều chỉnh giấy phép dịch vụ nổ mìn.</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Kỹ thuật an toàn và Môi trường công nghiệp có thẩm quyền cấp điều chỉnh giấy phép dịch vụ nổ mìn tại địa phương có phạm vi hoạt động giới hạn trong địa bàn đất liền của 01 (một) tỉnh hoặc thành phố trực thuộc Trung 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05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Mau05.docx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hoạt động dịch vụ nổ mìn trong thời hạn hiệu lực của giấy phép đã cấp lần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dịch vụ nổ mìn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thay đổi phạm vi hoạt động dịch vụ nổ mìn.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2025-11-27T08:35:59Z</dcterms:created>
  <dc:creator>Apache POI</dc:creator>
</cp:coreProperties>
</file>