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một chiều mẫu 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 đã được khai hoàn chỉnh (Phụ lục 22-08 của Quy định số 2015/2447 ngày 24/11/2015 của EU);</w:t>
            </w:r>
          </w:p>
        </w:tc>
        <w:tc>
          <w:p/>
          <w:p>
            <w:pPr>
              <w:spacing w:after="0" w:before="0" w:lineRule="auto" w:line="276"/>
              <w:jc w:val="left"/>
            </w:pPr>
            <w:r>
              <w:rPr>
                <w:rFonts w:ascii="Times New Roman" w:hAnsi="Times New Roman" w:cs="Times New Roman" w:eastAsia="Times New Roman"/>
                <w:b w:val="false"/>
                <w:sz w:val="26"/>
              </w:rPr>
              <w:t>PL 22-08.docx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một chiều mẫu 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2025-11-27T08:36:04Z</dcterms:created>
  <dc:creator>Apache POI</dc:creator>
</cp:coreProperties>
</file>