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thì doanh nghiệp đề nghị cấp lại giấy phép kinh doanh tiền chất thuốc nổ</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lại giấy phép kinh doanh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06 Phụ lục III ban hành kèm theo Thông tư số 23/2024/TT-BCT; Văn bản đề nghị cấp lại nêu rõ lý do mất, hư hỏng và kết quả xử lý.</w:t>
            </w:r>
          </w:p>
        </w:tc>
        <w:tc>
          <w:p/>
          <w:p>
            <w:pPr>
              <w:spacing w:after="0" w:before="0" w:lineRule="auto" w:line="276"/>
              <w:jc w:val="left"/>
            </w:pPr>
            <w:r>
              <w:rPr>
                <w:rFonts w:ascii="Times New Roman" w:hAnsi="Times New Roman" w:cs="Times New Roman" w:eastAsia="Times New Roman"/>
                <w:b w:val="false"/>
                <w:sz w:val="26"/>
              </w:rPr>
              <w:t>Mau06.docx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giấy phép bị mất,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