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tiêu thụ hàng hóa quá cảnh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hàng nộp hồ sơ đề nghị cho phép tiêu thụ hàng hóa quá cảnh đến Cục Xuất nhập khẩu (Bộ Công Thương); địa chỉ: 54 Hai Bà Trưng, quận Hoàn Kiếm, Hà Nội, Việt Nam.;</w:t>
      </w:r>
    </w:p>
    <w:p>
      <w:pPr>
        <w:spacing w:after="0" w:before="0" w:lineRule="auto" w:line="276"/>
        <w:jc w:val="both"/>
      </w:pPr>
      <w:r>
        <w:rPr>
          <w:rFonts w:ascii="Times New Roman" w:hAnsi="Times New Roman" w:cs="Times New Roman" w:eastAsia="Times New Roman"/>
          <w:b w:val="false"/>
          <w:sz w:val="26"/>
        </w:rPr>
        <w:t>- Cục Xuất nhập khẩu (Bộ Công Thương) tiếp nhận, thẩm định hồ sơ.</w:t>
      </w:r>
    </w:p>
    <w:p>
      <w:pPr>
        <w:spacing w:after="0" w:before="0" w:lineRule="auto" w:line="276"/>
        <w:jc w:val="both"/>
      </w:pPr>
      <w:r>
        <w:rPr>
          <w:rFonts w:ascii="Times New Roman" w:hAnsi="Times New Roman" w:cs="Times New Roman" w:eastAsia="Times New Roman"/>
          <w:b w:val="false"/>
          <w:sz w:val="26"/>
        </w:rPr>
        <w:t>- Trường hợp hồ sơ đầy đủ, hợp lệ, đáp ứng đủ điều kiện, trong thời hạn 15 ngày làm việc, Bộ Công Thương có văn bản cho phép chủ hàng tiêu thụ hàng hóa quá cảnh.</w:t>
      </w:r>
    </w:p>
    <w:p>
      <w:pPr>
        <w:spacing w:after="0" w:before="0" w:lineRule="auto" w:line="276"/>
        <w:jc w:val="both"/>
      </w:pPr>
      <w:r>
        <w:rPr>
          <w:rFonts w:ascii="Times New Roman" w:hAnsi="Times New Roman" w:cs="Times New Roman" w:eastAsia="Times New Roman"/>
          <w:b w:val="false"/>
          <w:sz w:val="26"/>
        </w:rPr>
        <w:t>- Trường hợp hồ sơ không đầy đủ, không hợp lệ, trong vòng 07 ngày làm việc, Cục Xuất nhập khẩu (Bộ Công Thương) có văn bản gửi chủ hàng yêu cầu bổ sung, chỉnh sửa để hoàn chỉnh hồ sơ. Trường hợp không cho phép tiêu thụ hàng hóa quá cảnh, Bộ Công Thương có văn bản trả lời chủ hàng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cho phép tiêu thụ hàng hóa quá cảnh của chủ hàng: 01 (một) bản chính (theo mẫu quy định tại Phụ lục IV ban hành kèm theo Thông tư số 11/2015/TT-BCT);</w:t>
            </w:r>
          </w:p>
        </w:tc>
        <w:tc>
          <w:p/>
          <w:p>
            <w:pPr>
              <w:spacing w:after="0" w:before="0" w:lineRule="auto" w:line="276"/>
              <w:jc w:val="left"/>
            </w:pPr>
            <w:r>
              <w:rPr>
                <w:rFonts w:ascii="Times New Roman" w:hAnsi="Times New Roman" w:cs="Times New Roman" w:eastAsia="Times New Roman"/>
                <w:b w:val="false"/>
                <w:sz w:val="26"/>
              </w:rPr>
              <w:t>Mau so 2, TT 11-2015.docx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quá cảnh hàng hóa đã được cấp: 01 (một)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trường hợp đặc biệt đối với hàng hóa quá cảnh cần xin được tiêu thụ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xác nhận của cơ quan Hải quan về tình trạng lô hàng quá cảnh: 01 (một)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Tờ khai Hải quan của lô hàng quá cảnh: 01 (một)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cho phép tiêu thụ hàng hóa quá cảnh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11/2015/TT-BCT</w:t>
            </w:r>
          </w:p>
        </w:tc>
        <w:tc>
          <w:p/>
          <w:p>
            <w:pPr>
              <w:spacing w:after="0" w:before="0" w:lineRule="auto" w:line="276"/>
              <w:jc w:val="left"/>
            </w:pPr>
            <w:r>
              <w:rPr>
                <w:rFonts w:ascii="Times New Roman" w:hAnsi="Times New Roman" w:cs="Times New Roman" w:eastAsia="Times New Roman"/>
                <w:b w:val="false"/>
                <w:sz w:val="26"/>
              </w:rPr>
              <w:t>Quy định về quá cảnh hàng hóa của nước Cộng hòa Nhân dân Trung Hoa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04-06-2015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2025-11-27T08:36:41Z</dcterms:created>
  <dc:creator>Apache POI</dc:creator>
</cp:coreProperties>
</file>