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Nhập khẩu máy móc, thiết bị chuyên ngành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Doanh nghiệp gửi 01 bộ hồ sơ nhập khẩu máy móc, thiết bị chuyên ngành thuốc lá đến Ủy ban nhân dân cấp tỉnh. Trong thời hạn 10 ngày làm việc kể từ ngày nhận được đủ hồ sơ của doanh nghiệp, Ủy ban nhân dân cấp tỉnh sẽ có văn bản trả lời doanh nghiệp, trường hợp từ chối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đủ hồ sơ hợp lệ của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đủ hồ sơ hợp lệ của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đủ hồ sơ hợp lệ của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Số lượng bộ hồ sơ: 01 bộ.</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nhập khẩu máy móc, thiết bị chuyên ngành thuốc lá.</w:t>
            </w:r>
          </w:p>
        </w:tc>
        <w:tc>
          <w:p/>
          <w:p>
            <w:pPr>
              <w:spacing w:after="0" w:before="0" w:lineRule="auto" w:line="276"/>
              <w:jc w:val="left"/>
            </w:pPr>
            <w:r>
              <w:rPr>
                <w:rFonts w:ascii="Times New Roman" w:hAnsi="Times New Roman" w:cs="Times New Roman" w:eastAsia="Times New Roman"/>
                <w:b w:val="false"/>
                <w:sz w:val="26"/>
              </w:rPr>
              <w:t>Don1.docx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đồng ý chủ trương đầu tư, dự án và các văn bản phê duyệt liên quan (nếu có)</w:t>
            </w:r>
          </w:p>
        </w:tc>
        <w:tc>
          <w:p/>
          <w:p>
            <w:pPr>
              <w:spacing w:after="0" w:before="0" w:lineRule="auto" w:line="276"/>
              <w:jc w:val="left"/>
            </w:pPr>
            <w:r>
              <w:rPr>
                <w:rFonts w:ascii="Times New Roman" w:hAnsi="Times New Roman" w:cs="Times New Roman" w:eastAsia="Times New Roman"/>
                <w:b w:val="false"/>
                <w:sz w:val="26"/>
              </w:rPr>
              <w:t>Dongychutruong.docx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nhập khẩu máy móc, thiết bị chuyên ngành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21/2013/TT-BCT</w:t>
            </w:r>
          </w:p>
        </w:tc>
        <w:tc>
          <w:p/>
          <w:p>
            <w:pPr>
              <w:spacing w:after="0" w:before="0" w:lineRule="auto" w:line="276"/>
              <w:jc w:val="left"/>
            </w:pPr>
            <w:r>
              <w:rPr>
                <w:rFonts w:ascii="Times New Roman" w:hAnsi="Times New Roman" w:cs="Times New Roman" w:eastAsia="Times New Roman"/>
                <w:b w:val="false"/>
                <w:sz w:val="26"/>
              </w:rPr>
              <w:t>Quy định chi tiết một số điều của Nghị định số 67/2013/NĐ-CP ngày 27 tháng 6 năm 2013 của Chính phủ 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25-09-2013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43/2023/TT-BCT</w:t>
            </w:r>
          </w:p>
        </w:tc>
        <w:tc>
          <w:p/>
          <w:p>
            <w:pPr>
              <w:spacing w:after="0" w:before="0" w:lineRule="auto" w:line="276"/>
              <w:jc w:val="left"/>
            </w:pPr>
            <w:r>
              <w:rPr>
                <w:rFonts w:ascii="Times New Roman" w:hAnsi="Times New Roman" w:cs="Times New Roman" w:eastAsia="Times New Roman"/>
                <w:b w:val="false"/>
                <w:sz w:val="26"/>
              </w:rPr>
              <w:t>Thông tư số 43/2023/TT_BCT</w:t>
            </w:r>
          </w:p>
        </w:tc>
        <w:tc>
          <w:p/>
          <w:p>
            <w:pPr>
              <w:spacing w:after="0" w:before="0" w:lineRule="auto" w:line="276"/>
              <w:jc w:val="left"/>
            </w:pPr>
            <w:r>
              <w:rPr>
                <w:rFonts w:ascii="Times New Roman" w:hAnsi="Times New Roman" w:cs="Times New Roman" w:eastAsia="Times New Roman"/>
                <w:b w:val="false"/>
                <w:sz w:val="26"/>
              </w:rPr>
              <w:t>28-12-2023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Giấy phép sản xuất sản phẩm thuốc lá, Giấy phép chế biến nguyên liệu thuốc lá;
b) Máy móc, thiết bị chuyên ngành thuốc lá nhập khẩu phải phù hợp với năng lực sản xuất của doanh nghiệp đã được Bộ Công Thương công bố;
c) Được sự đồng ý chủ trương đầu tư của Bộ Công Thương (nếu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2025-11-27T08:36:53Z</dcterms:created>
  <dc:creator>Apache POI</dc:creator>
</cp:coreProperties>
</file>