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thuộc danh mục cấm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hồ sơ đầy đủ, hợp lệ, đáp ứng đủ điều kiện</w:t>
      </w:r>
    </w:p>
    <w:p>
      <w:pPr>
        <w:spacing w:after="0" w:before="0" w:lineRule="auto" w:line="276"/>
        <w:jc w:val="both"/>
      </w:pPr>
      <w:r>
        <w:rPr>
          <w:rFonts w:ascii="Times New Roman" w:hAnsi="Times New Roman" w:cs="Times New Roman" w:eastAsia="Times New Roman"/>
          <w:b w:val="false"/>
          <w:sz w:val="26"/>
        </w:rPr>
        <w:t>- Chủ hàng nộp hồ sơ đề nghị cho phép quá cảnh hàng hóa đến Cục Xuất nhập khẩu - Bộ Công Thương; địa chỉ: 54 Hai Bà Trưng, quận Hoàn Kiếm, Hà Nội, Việt Nam
- Cục Xuất nhập khẩu - Bộ Công Thương tiếp nhận, thẩm định hồ sơ và trình Lãnh đạo Bộ Công Thương xem xét, quyết định.
- Trường hợp không cấp giấy phép quá cảnh,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chưa đầy đủ, chưa hợp lệ, trong vòng 03 (ba) ngày làm việc, kể từ ngày nhận được hồ sơ, cơ quan tiếp nhận hồ sơ có văn bản gửi chủ hàng yêu cầu bổ sung, chỉnh sửa.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theo mẫu quy định: 01 bản chính</w:t>
            </w:r>
          </w:p>
        </w:tc>
        <w:tc>
          <w:p/>
          <w:p>
            <w:pPr>
              <w:spacing w:after="0" w:before="0" w:lineRule="auto" w:line="276"/>
              <w:jc w:val="left"/>
            </w:pPr>
            <w:r>
              <w:rPr>
                <w:rFonts w:ascii="Times New Roman" w:hAnsi="Times New Roman" w:cs="Times New Roman" w:eastAsia="Times New Roman"/>
                <w:b w:val="false"/>
                <w:sz w:val="26"/>
              </w:rPr>
              <w:t>PHLCI.docx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Bộ Thương mại Vương quốc Campuchia đề nghị cho phép quá cảnh hàng hóa: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thuộc danh mục cấm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2025-11-27T08:36:56Z</dcterms:created>
  <dc:creator>Apache POI</dc:creator>
</cp:coreProperties>
</file>