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1.000694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2161/QĐ-BCT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AANZ</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 Ký cấp phép C/O và trả kết quả C/O dưới dạng bản pdf cho thương nhân trên hệ thống eCoSys (không cần thực hiện Bước 5 và Bước 6); hoặc
- Ký cấp tay C/O giấy (tiếp tục thực hiện Bước 5 và Bước 6).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AANZ đã được khai hoàn chỉnh (Phụ lục V-A ban hành kèm theo Thông tư số 31/2015/TT-BCT ngày 24/9/2015) và Mẫu Tờ khai bổ sung C/O (nếu có) (Phụ lục V-B ban hành kèm theo Thông tư số 31/2015/TT-BCT ngày 24/9/2015);</w:t>
            </w:r>
          </w:p>
        </w:tc>
        <w:tc>
          <w:p/>
          <w:p>
            <w:pPr>
              <w:spacing w:after="0" w:before="0" w:lineRule="auto" w:line="276"/>
              <w:jc w:val="left"/>
            </w:pPr>
            <w:r>
              <w:rPr>
                <w:rFonts w:ascii="Times New Roman" w:hAnsi="Times New Roman" w:cs="Times New Roman" w:eastAsia="Times New Roman"/>
                <w:b w:val="false"/>
                <w:sz w:val="26"/>
              </w:rPr>
              <w:t>PL V-B.doc</w:t>
            </w:r>
          </w:p>
          <w:p>
            <w:pPr>
              <w:spacing w:after="0" w:before="0" w:lineRule="auto" w:line="276"/>
              <w:jc w:val="left"/>
            </w:pPr>
            <w:r>
              <w:rPr>
                <w:rFonts w:ascii="Times New Roman" w:hAnsi="Times New Roman" w:cs="Times New Roman" w:eastAsia="Times New Roman"/>
                <w:b w:val="false"/>
                <w:sz w:val="26"/>
              </w:rPr>
              <w:t>PL V-A.doc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AANZ</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31/2015/TT-BCT</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24-09-2015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64/2025/TT-BTC</w:t>
            </w:r>
          </w:p>
        </w:tc>
        <w:tc>
          <w:p/>
          <w:p>
            <w:pPr>
              <w:spacing w:after="0" w:before="0" w:lineRule="auto" w:line="276"/>
              <w:jc w:val="left"/>
            </w:pPr>
            <w:r>
              <w:rPr>
                <w:rFonts w:ascii="Times New Roman" w:hAnsi="Times New Roman" w:cs="Times New Roman" w:eastAsia="Times New Roman"/>
                <w:b w:val="false"/>
                <w:sz w:val="26"/>
              </w:rPr>
              <w:t>Thông tư quy định mức thu, miễn một số khoản phí, lệ phí nhằm hỗ trợ cho doanh nghiệp, người dân</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r>
        <w:tc>
          <w:p/>
          <w:p>
            <w:pPr>
              <w:spacing w:after="0" w:before="0" w:lineRule="auto" w:line="276"/>
              <w:jc w:val="left"/>
            </w:pPr>
            <w:r>
              <w:rPr>
                <w:rFonts w:ascii="Times New Roman" w:hAnsi="Times New Roman" w:cs="Times New Roman" w:eastAsia="Times New Roman"/>
                <w:b w:val="false"/>
                <w:sz w:val="26"/>
              </w:rPr>
              <w:t>44/2025/TT-BCT</w:t>
            </w:r>
          </w:p>
        </w:tc>
        <w:tc>
          <w:p/>
          <w:p>
            <w:pPr>
              <w:spacing w:after="0" w:before="0" w:lineRule="auto" w:line="276"/>
              <w:jc w:val="left"/>
            </w:pPr>
            <w:r>
              <w:rPr>
                <w:rFonts w:ascii="Times New Roman" w:hAnsi="Times New Roman" w:cs="Times New Roman" w:eastAsia="Times New Roman"/>
                <w:b w:val="false"/>
                <w:sz w:val="26"/>
              </w:rPr>
              <w:t>Thông tư số 44/2025/TT-BCT ngày 07/7/2025 của Bộ trưởng Bộ Công Thương quy định Quy tắc xuất xứ hàng hoá trong Hiệp định thành lập Khu vực thương mại tự do ASEAN - Úc - Niu Di-lân</w:t>
            </w:r>
          </w:p>
        </w:tc>
        <w:tc>
          <w:p/>
          <w:p>
            <w:pPr>
              <w:spacing w:after="0" w:before="0" w:lineRule="auto" w:line="276"/>
              <w:jc w:val="left"/>
            </w:pPr>
            <w:r>
              <w:rPr>
                <w:rFonts w:ascii="Times New Roman" w:hAnsi="Times New Roman" w:cs="Times New Roman" w:eastAsia="Times New Roman"/>
                <w:b w:val="false"/>
                <w:sz w:val="26"/>
              </w:rPr>
              <w:t>07-07-2025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https://thutuc.dichvucong.gov.vn/p/home/dvc-tthc-thu-tuc-hanh-chinh-chi-tiet.html?ma_thu_tuc=996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2025-11-27T08:37:06Z</dcterms:created>
  <dc:creator>Apache POI</dc:creator>
</cp:coreProperties>
</file>