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1.000948</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1781/QĐ-BCT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lại Giấy phép chế biến nguyên liệu thuốc lá</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Công nghiệp tiêu dùng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Doanh nghiệp có Giấy phép chế biến nguyên liệu thuốc lá nộp hồ sơ xin đề nghị cấp lại giấy phép chế biến nguyên liệu thuốc lá cho cơ quan nhà nước có thẩm quyền;
- Trong thời hạn 15 ngày làm việc kể từ ngày nhận đủ hồ sơ hợp lệ, cơ quan có thẩm quyền xem xét và cấp lại giấy phép chế biến nguyên liệu thuốc lá. Trường hợp tổ chức, cá nhân không đáp ứng được điều kiện theo quy định cơ quan có thẩm quyền cấp phép sẽ có văn bản trả lời từ chối cấp phép và nêu rõ lý do.</w:t>
      </w:r>
    </w:p>
    <w:p>
      <w:pPr>
        <w:spacing w:after="0" w:before="0" w:lineRule="auto" w:line="276"/>
        <w:jc w:val="both"/>
      </w:pPr>
      <w:r>
        <w:rPr>
          <w:rFonts w:ascii="Times New Roman" w:hAnsi="Times New Roman" w:cs="Times New Roman" w:eastAsia="Times New Roman"/>
          <w:b w:val="false"/>
          <w:sz w:val="26"/>
        </w:rPr>
        <w:t>Doanh nghiệp có Giấy phép chế biến nguyên liệu thuốc lá gửi 01 bộ hồ sơ đề nghị cấp lại Giấy phép chế biến nguyên liệu thuốc lá hoặc qua đường bưu điện hoặc qua mạng điện tử đến Ủy ban nhân dân cấp tỉnh.
a) Trường hợp giấy phép chế biến nguyên liệu thuốc lá đã được cấp hết thời hạn hiệu lực. Trước thời hạn hết hiệu lực của giấy phép 30 ngày, tổ chức, cá nhân phải nộp hồ sơ đề nghị cấp lại giấy phép trong trường hợp tiếp tục kinh doanh. Hồ sơ, thẩm quyền, trình tự, thủ tục cấp lại như đối với trường hợp cấp mới.
b) Trường hợp giấy phép chế biến nguyên liệu thuốc lá bị mất, bị tiêu hủy toàn bộ hoặc một phần, bị rách, nát hoặc bị cháy, tổ chức, cá nhân được cấp phép phải lập, nộp 01 bộ hồ sơ đề nghị cấp lại</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15 ngày làm việc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15 ngày làm việc kể từ ngày nhận đủ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Trường hợp giấy phép chế biến nguyên liệu thuốc lá bị mất, bị tiêu hủy toàn bộ hoặc một phần, bị rách, nát hoặc bị cháy, tổ chức, cá nhân được cấp phép phải lập, nộp 01 bộ hồ sơ đề nghị cấp lại, 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Văn bản đề nghị cấp lại (Theo mẫu Phụ lục 38 Thông tư số 57/2018/TT-BCT)</w:t>
            </w:r>
          </w:p>
        </w:tc>
        <w:tc>
          <w:p/>
          <w:p>
            <w:pPr>
              <w:spacing w:after="0" w:before="0" w:lineRule="auto" w:line="276"/>
              <w:jc w:val="left"/>
            </w:pPr>
            <w:r>
              <w:rPr>
                <w:rFonts w:ascii="Times New Roman" w:hAnsi="Times New Roman" w:cs="Times New Roman" w:eastAsia="Times New Roman"/>
                <w:b w:val="false"/>
                <w:sz w:val="26"/>
              </w:rPr>
              <w:t>Dondenghicaplai.docx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sao giấy phép chế biến nguyên liệu thuốc lá đã được cấp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hd w:val="clear" w:color="auto" w:fill="F2F6F9"/>
        <w:spacing w:after="0" w:before="120" w:lineRule="auto" w:line="276"/>
        <w:jc w:val="both"/>
      </w:pPr>
      <w:r>
        <w:rPr>
          <w:rFonts w:ascii="Times New Roman" w:hAnsi="Times New Roman" w:cs="Times New Roman" w:eastAsia="Times New Roman"/>
          <w:b w:val="true"/>
          <w:sz w:val="26"/>
        </w:rPr>
        <w:t>Trường hợp giấy phép chế biến nguyên liệu thuốc lá đã được cấp hết thời hạn hiệu lực. Trước thời hạn hết hiệu lực của giấy phép 30 ngày, tổ chức, cá nhân phải nộp hồ sơ đề nghị cấp lại giấy phép trong trường hợp tiếp tục kinh doanh. Thành phần hồ sơ thủ tục cấp lại như đối với trường hợp cấp mới.</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1 bộ hồ sơ như cấp mới</w:t>
            </w:r>
          </w:p>
        </w:tc>
        <w:tc>
          <w:p/>
          <w:p>
            <w:pPr>
              <w:spacing w:after="0" w:before="0" w:lineRule="auto" w:line="276"/>
              <w:jc w:val="left"/>
            </w:pPr>
            <w:r>
              <w:rPr>
                <w:rFonts w:ascii="Times New Roman" w:hAnsi="Times New Roman" w:cs="Times New Roman" w:eastAsia="Times New Roman"/>
                <w:b w:val="false"/>
                <w:sz w:val="26"/>
              </w:rPr>
              <w:t>Dondenghicapgiayphep.docx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Cấp lại Giấy phép chế biến nguyên liệu thuốc lá</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67/2013/NĐ-CP</w:t>
            </w:r>
          </w:p>
        </w:tc>
        <w:tc>
          <w:p/>
          <w:p>
            <w:pPr>
              <w:spacing w:after="0" w:before="0" w:lineRule="auto" w:line="276"/>
              <w:jc w:val="left"/>
            </w:pPr>
            <w:r>
              <w:rPr>
                <w:rFonts w:ascii="Times New Roman" w:hAnsi="Times New Roman" w:cs="Times New Roman" w:eastAsia="Times New Roman"/>
                <w:b w:val="false"/>
                <w:sz w:val="26"/>
              </w:rPr>
              <w:t>Quy định chi tiết một số điều và biện pháp thi hành Luật Phòng, chống tác hại của thuốc lá về kinh doanh thuốc lá</w:t>
            </w:r>
          </w:p>
        </w:tc>
        <w:tc>
          <w:p/>
          <w:p>
            <w:pPr>
              <w:spacing w:after="0" w:before="0" w:lineRule="auto" w:line="276"/>
              <w:jc w:val="left"/>
            </w:pPr>
            <w:r>
              <w:rPr>
                <w:rFonts w:ascii="Times New Roman" w:hAnsi="Times New Roman" w:cs="Times New Roman" w:eastAsia="Times New Roman"/>
                <w:b w:val="false"/>
                <w:sz w:val="26"/>
              </w:rPr>
              <w:t>27-06-2013</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08/2018/NĐ-CP</w:t>
            </w:r>
          </w:p>
        </w:tc>
        <w:tc>
          <w:p/>
          <w:p>
            <w:pPr>
              <w:spacing w:after="0" w:before="0" w:lineRule="auto" w:line="276"/>
              <w:jc w:val="left"/>
            </w:pPr>
            <w:r>
              <w:rPr>
                <w:rFonts w:ascii="Times New Roman" w:hAnsi="Times New Roman" w:cs="Times New Roman" w:eastAsia="Times New Roman"/>
                <w:b w:val="false"/>
                <w:sz w:val="26"/>
              </w:rPr>
              <w:t>Sửa đổi một số Nghị định liên quan đến điều kiện đầu tư kinh doanh thuộc phạm vi quản lý nhà nước của Bộ Công Thương</w:t>
            </w:r>
          </w:p>
        </w:tc>
        <w:tc>
          <w:p/>
          <w:p>
            <w:pPr>
              <w:spacing w:after="0" w:before="0" w:lineRule="auto" w:line="276"/>
              <w:jc w:val="left"/>
            </w:pPr>
            <w:r>
              <w:rPr>
                <w:rFonts w:ascii="Times New Roman" w:hAnsi="Times New Roman" w:cs="Times New Roman" w:eastAsia="Times New Roman"/>
                <w:b w:val="false"/>
                <w:sz w:val="26"/>
              </w:rPr>
              <w:t>15-01-2018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106/2017/NĐ-CP</w:t>
            </w:r>
          </w:p>
        </w:tc>
        <w:tc>
          <w:p/>
          <w:p>
            <w:pPr>
              <w:spacing w:after="0" w:before="0" w:lineRule="auto" w:line="276"/>
              <w:jc w:val="left"/>
            </w:pPr>
            <w:r>
              <w:rPr>
                <w:rFonts w:ascii="Times New Roman" w:hAnsi="Times New Roman" w:cs="Times New Roman" w:eastAsia="Times New Roman"/>
                <w:b w:val="false"/>
                <w:sz w:val="26"/>
              </w:rPr>
              <w:t>sửa đổi, bổ sung một số điều của Nghị định số 67/2013/NĐ-CP ngày 27 tháng 6 năm 2013 của Chính phủ quy định chi tiết một số điều và biện pháp thi hành Luật Phòng, chống tác hại của thuốc lá về kinh doanh thuốc lá</w:t>
            </w:r>
          </w:p>
        </w:tc>
        <w:tc>
          <w:p/>
          <w:p>
            <w:pPr>
              <w:spacing w:after="0" w:before="0" w:lineRule="auto" w:line="276"/>
              <w:jc w:val="left"/>
            </w:pPr>
            <w:r>
              <w:rPr>
                <w:rFonts w:ascii="Times New Roman" w:hAnsi="Times New Roman" w:cs="Times New Roman" w:eastAsia="Times New Roman"/>
                <w:b w:val="false"/>
                <w:sz w:val="26"/>
              </w:rPr>
              <w:t>14-09-2017</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57/2018/TT-BCT</w:t>
            </w:r>
          </w:p>
        </w:tc>
        <w:tc>
          <w:p/>
          <w:p>
            <w:pPr>
              <w:spacing w:after="0" w:before="0" w:lineRule="auto" w:line="276"/>
              <w:jc w:val="left"/>
            </w:pPr>
            <w:r>
              <w:rPr>
                <w:rFonts w:ascii="Times New Roman" w:hAnsi="Times New Roman" w:cs="Times New Roman" w:eastAsia="Times New Roman"/>
                <w:b w:val="false"/>
                <w:sz w:val="26"/>
              </w:rPr>
              <w:t>Thông tư 57/2018/TT-BCT</w:t>
            </w:r>
          </w:p>
        </w:tc>
        <w:tc>
          <w:p/>
          <w:p>
            <w:pPr>
              <w:spacing w:after="0" w:before="0" w:lineRule="auto" w:line="276"/>
              <w:jc w:val="left"/>
            </w:pPr>
            <w:r>
              <w:rPr>
                <w:rFonts w:ascii="Times New Roman" w:hAnsi="Times New Roman" w:cs="Times New Roman" w:eastAsia="Times New Roman"/>
                <w:b w:val="false"/>
                <w:sz w:val="26"/>
              </w:rPr>
              <w:t>28-12-2018</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09/2012/QH13</w:t>
            </w:r>
          </w:p>
        </w:tc>
        <w:tc>
          <w:p/>
          <w:p>
            <w:pPr>
              <w:spacing w:after="0" w:before="0" w:lineRule="auto" w:line="276"/>
              <w:jc w:val="left"/>
            </w:pPr>
            <w:r>
              <w:rPr>
                <w:rFonts w:ascii="Times New Roman" w:hAnsi="Times New Roman" w:cs="Times New Roman" w:eastAsia="Times New Roman"/>
                <w:b w:val="false"/>
                <w:sz w:val="26"/>
              </w:rPr>
              <w:t>LUẬT PHÒNG, CHỐNG TÁC HẠI CỦA THUỐC LÁ</w:t>
            </w:r>
          </w:p>
        </w:tc>
        <w:tc>
          <w:p/>
          <w:p>
            <w:pPr>
              <w:spacing w:after="0" w:before="0" w:lineRule="auto" w:line="276"/>
              <w:jc w:val="left"/>
            </w:pPr>
            <w:r>
              <w:rPr>
                <w:rFonts w:ascii="Times New Roman" w:hAnsi="Times New Roman" w:cs="Times New Roman" w:eastAsia="Times New Roman"/>
                <w:b w:val="false"/>
                <w:sz w:val="26"/>
              </w:rPr>
              <w:t>18-06-2012</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17/2020/NĐ-CP</w:t>
            </w:r>
          </w:p>
        </w:tc>
        <w:tc>
          <w:p/>
          <w:p>
            <w:pPr>
              <w:spacing w:after="0" w:before="0" w:lineRule="auto" w:line="276"/>
              <w:jc w:val="left"/>
            </w:pPr>
            <w:r>
              <w:rPr>
                <w:rFonts w:ascii="Times New Roman" w:hAnsi="Times New Roman" w:cs="Times New Roman" w:eastAsia="Times New Roman"/>
                <w:b w:val="false"/>
                <w:sz w:val="26"/>
              </w:rPr>
              <w:t>Nghị định 17/2020/NĐ-CP</w:t>
            </w:r>
          </w:p>
        </w:tc>
        <w:tc>
          <w:p/>
          <w:p>
            <w:pPr>
              <w:spacing w:after="0" w:before="0" w:lineRule="auto" w:line="276"/>
              <w:jc w:val="left"/>
            </w:pPr>
            <w:r>
              <w:rPr>
                <w:rFonts w:ascii="Times New Roman" w:hAnsi="Times New Roman" w:cs="Times New Roman" w:eastAsia="Times New Roman"/>
                <w:b w:val="false"/>
                <w:sz w:val="26"/>
              </w:rPr>
              <w:t>05-02-2020</w:t>
            </w:r>
          </w:p>
        </w:tc>
        <w:tc>
          <w:p/>
        </w:tc>
      </w:tr>
      <w:tr>
        <w:tc>
          <w:p/>
          <w:p>
            <w:pPr>
              <w:spacing w:after="0" w:before="0" w:lineRule="auto" w:line="276"/>
              <w:jc w:val="left"/>
            </w:pPr>
            <w:r>
              <w:rPr>
                <w:rFonts w:ascii="Times New Roman" w:hAnsi="Times New Roman" w:cs="Times New Roman" w:eastAsia="Times New Roman"/>
                <w:b w:val="false"/>
                <w:sz w:val="26"/>
              </w:rPr>
              <w:t>28/2019/TT-BCT</w:t>
            </w:r>
          </w:p>
        </w:tc>
        <w:tc>
          <w:p/>
          <w:p>
            <w:pPr>
              <w:spacing w:after="0" w:before="0" w:lineRule="auto" w:line="276"/>
              <w:jc w:val="left"/>
            </w:pPr>
            <w:r>
              <w:rPr>
                <w:rFonts w:ascii="Times New Roman" w:hAnsi="Times New Roman" w:cs="Times New Roman" w:eastAsia="Times New Roman"/>
                <w:b w:val="false"/>
                <w:sz w:val="26"/>
              </w:rPr>
              <w:t>Thông tư 28/2019/TT-BCT</w:t>
            </w:r>
          </w:p>
        </w:tc>
        <w:tc>
          <w:p/>
          <w:p>
            <w:pPr>
              <w:spacing w:after="0" w:before="0" w:lineRule="auto" w:line="276"/>
              <w:jc w:val="left"/>
            </w:pPr>
            <w:r>
              <w:rPr>
                <w:rFonts w:ascii="Times New Roman" w:hAnsi="Times New Roman" w:cs="Times New Roman" w:eastAsia="Times New Roman"/>
                <w:b w:val="false"/>
                <w:sz w:val="26"/>
              </w:rPr>
              <w:t>15-11-2019</w:t>
            </w:r>
          </w:p>
        </w:tc>
        <w:tc>
          <w:p/>
        </w:tc>
      </w:tr>
      <w:tr>
        <w:tc>
          <w:p/>
          <w:p>
            <w:pPr>
              <w:spacing w:after="0" w:before="0" w:lineRule="auto" w:line="276"/>
              <w:jc w:val="left"/>
            </w:pPr>
            <w:r>
              <w:rPr>
                <w:rFonts w:ascii="Times New Roman" w:hAnsi="Times New Roman" w:cs="Times New Roman" w:eastAsia="Times New Roman"/>
                <w:b w:val="false"/>
                <w:sz w:val="26"/>
              </w:rPr>
              <w:t>38/2025/TT-BCT</w:t>
            </w:r>
          </w:p>
        </w:tc>
        <w:tc>
          <w:p/>
          <w:p>
            <w:pPr>
              <w:spacing w:after="0" w:before="0" w:lineRule="auto" w:line="276"/>
              <w:jc w:val="left"/>
            </w:pPr>
            <w:r>
              <w:rPr>
                <w:rFonts w:ascii="Times New Roman" w:hAnsi="Times New Roman" w:cs="Times New Roman" w:eastAsia="Times New Roman"/>
                <w:b w:val="false"/>
                <w:sz w:val="26"/>
              </w:rPr>
              <w:t>Sửa đổi, bổ sung một số quy định về phân cấp thực hiện thủ tục hành chính trong các lĩnh vực thuộc phạm vi quản lý của Bộ Công Thương</w:t>
            </w:r>
          </w:p>
        </w:tc>
        <w:tc>
          <w:p/>
          <w:p>
            <w:pPr>
              <w:spacing w:after="0" w:before="0" w:lineRule="auto" w:line="276"/>
              <w:jc w:val="left"/>
            </w:pPr>
            <w:r>
              <w:rPr>
                <w:rFonts w:ascii="Times New Roman" w:hAnsi="Times New Roman" w:cs="Times New Roman" w:eastAsia="Times New Roman"/>
                <w:b w:val="false"/>
                <w:sz w:val="26"/>
              </w:rPr>
              <w:t>19-06-2025</w:t>
            </w:r>
          </w:p>
        </w:tc>
        <w:tc>
          <w:p/>
          <w:p>
            <w:pPr>
              <w:spacing w:after="0" w:before="0" w:lineRule="auto" w:line="276"/>
              <w:jc w:val="left"/>
            </w:pPr>
            <w:r>
              <w:rPr>
                <w:rFonts w:ascii="Times New Roman" w:hAnsi="Times New Roman" w:cs="Times New Roman" w:eastAsia="Times New Roman"/>
                <w:b w:val="false"/>
                <w:sz w:val="26"/>
              </w:rPr>
              <w:t>Bộ Công thương</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Là doanh nghiệp được thành lập theo quy định của pháp luật
- Có dây chuyền máy móc thiết bị chuyên ngành đồng bộ tách cọng thuốc lá hoặc chế biến ra thuốc lá sợi, thuốc lá tấm và các nguyên liệu thay thế khác dùng để sản xuất ra các sản phẩm thuốc lá. Dây chuyền chế biến nguyên liệu phải được chuyên môn hóa, đáp ứng các tiêu chuẩn vệ sinh công nghiệp, an toàn lao động và vệ sinh môi trường;
- Toàn bộ máy móc thiết bị phải có nguồn gốc hợp pháp;
- Địa điểm đặt cơ sở chế biến phải phù hợp Chiến lược sản xuất sản phẩm thuốc lá và vùng nguyên liệu thuốc lá được cấp có thẩm quyền phê duyệt.</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https://thutuc.dichvucong.gov.vn/p/home/dvc-tthc-thu-tuc-hanh-chinh-chi-tiet.html?ma_thu_tuc=1400</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2025-11-27T08:32:56Z</dcterms:created>
  <dc:creator>Apache POI</dc:creator>
</cp:coreProperties>
</file>