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1.000949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Chấp thuận nhập khẩu nguyên liệu thuốc lá để chế biến nguyên liệu thuốc lá xuất khẩu hoặc gia công chế biến nguyên liệu thuốc lá xuất khẩu</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Công nghiệp tiêu dùng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Doanh nghiệp gửi 01 bộ hồ sơ đề nghị nhập khẩu hoặc gia hạn thời hạn nhập khẩu nguyên liệu thuốc lá để sản xuất xuất khẩu hoặc gia công xuất khẩu nguyên liệu thuốc lá cho Ủy ban nhân dân cấp tỉnh;
- Trong thời hạn 20 ngày kể từ ngày nhận đủ hồ sơ hợp lệ, Ủy ban nhân dân cấp tỉnh xem xét và chấp thuận cho doanh nghiệp được nhập khẩu hoặc gia hạn thời hạn nhập khẩu nguyên liệu thuốc lá để sản xuất xuất khẩu hoặc gia công xuất khẩu nguyên liệu thuốc lá. Trường hợp doanh nghiệp không đáp ứng được điều kiện theo quy định, Ủy ban nhân dân cấp tỉnh sẽ có văn bản trả lời từ chối cấp phép và nêu rõ lý do;
- Trường hợp chưa đủ hồ sơ hợp lệ, trong vòng 07 ngày làm việc kể từ ngày tiếp nhận hồ sơ của doanh nghiệp, Ủy ban nhân dân cấp tỉnh có văn bản yêu cầu doanh nghiệp bổ sung.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20 ngày làm việc kể từ ngày nhận đủ hồ sơ hợp lệ của doanh nghiệp.</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20 ngày làm việc kể từ ngày nhận đủ hồ sơ hợp lệ của doanh nghiệp.</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20 ngày làm việc kể từ ngày nhận đủ hồ sơ hợp lệ của doanh nghiệp.</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nhập khẩu hoặc gia hạn thời hạn nhập khẩu nguyên liệu thuốc lá để sản xuất xuất khẩu hoặc gia công xuất khẩu nguyên liệu thuốc lá</w:t>
            </w:r>
          </w:p>
        </w:tc>
        <w:tc>
          <w:p/>
          <w:p>
            <w:pPr>
              <w:spacing w:after="0" w:before="0" w:lineRule="auto" w:line="276"/>
              <w:jc w:val="left"/>
            </w:pPr>
            <w:r>
              <w:rPr>
                <w:rFonts w:ascii="Times New Roman" w:hAnsi="Times New Roman" w:cs="Times New Roman" w:eastAsia="Times New Roman"/>
                <w:b w:val="false"/>
                <w:sz w:val="26"/>
              </w:rPr>
              <w:t>Mau23.docx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phép chế biến nguyên liệu thuốc lá.</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Hợp đồng sản xuất xuất khẩu hoặc gia công xuất khẩu nguyên liệu thuốc lá.</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Chấp thuận nhập khẩu nguyên liệu thuốc lá để chế biến nguyên liệu thuốc lá xuất khẩu hoặc gia công chế biến nguyên liệu thuốc lá xuất khẩu</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09/2012/QH13</w:t>
            </w:r>
          </w:p>
        </w:tc>
        <w:tc>
          <w:p/>
          <w:p>
            <w:pPr>
              <w:spacing w:after="0" w:before="0" w:lineRule="auto" w:line="276"/>
              <w:jc w:val="left"/>
            </w:pPr>
            <w:r>
              <w:rPr>
                <w:rFonts w:ascii="Times New Roman" w:hAnsi="Times New Roman" w:cs="Times New Roman" w:eastAsia="Times New Roman"/>
                <w:b w:val="false"/>
                <w:sz w:val="26"/>
              </w:rPr>
              <w:t>Luật 09/2012/QH13</w:t>
            </w:r>
          </w:p>
        </w:tc>
        <w:tc>
          <w:p/>
          <w:p>
            <w:pPr>
              <w:spacing w:after="0" w:before="0" w:lineRule="auto" w:line="276"/>
              <w:jc w:val="left"/>
            </w:pPr>
            <w:r>
              <w:rPr>
                <w:rFonts w:ascii="Times New Roman" w:hAnsi="Times New Roman" w:cs="Times New Roman" w:eastAsia="Times New Roman"/>
                <w:b w:val="false"/>
                <w:sz w:val="26"/>
              </w:rPr>
              <w:t>18-06-2012</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67/2013/NĐ-CP</w:t>
            </w:r>
          </w:p>
        </w:tc>
        <w:tc>
          <w:p/>
          <w:p>
            <w:pPr>
              <w:spacing w:after="0" w:before="0" w:lineRule="auto" w:line="276"/>
              <w:jc w:val="left"/>
            </w:pPr>
            <w:r>
              <w:rPr>
                <w:rFonts w:ascii="Times New Roman" w:hAnsi="Times New Roman" w:cs="Times New Roman" w:eastAsia="Times New Roman"/>
                <w:b w:val="false"/>
                <w:sz w:val="26"/>
              </w:rPr>
              <w:t>Nghị định 67/2013/NĐ-CP</w:t>
            </w:r>
          </w:p>
        </w:tc>
        <w:tc>
          <w:p/>
          <w:p>
            <w:pPr>
              <w:spacing w:after="0" w:before="0" w:lineRule="auto" w:line="276"/>
              <w:jc w:val="left"/>
            </w:pPr>
            <w:r>
              <w:rPr>
                <w:rFonts w:ascii="Times New Roman" w:hAnsi="Times New Roman" w:cs="Times New Roman" w:eastAsia="Times New Roman"/>
                <w:b w:val="false"/>
                <w:sz w:val="26"/>
              </w:rPr>
              <w:t>27-06-2013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57/2018/TT-BCT</w:t>
            </w:r>
          </w:p>
        </w:tc>
        <w:tc>
          <w:p/>
          <w:p>
            <w:pPr>
              <w:spacing w:after="0" w:before="0" w:lineRule="auto" w:line="276"/>
              <w:jc w:val="left"/>
            </w:pPr>
            <w:r>
              <w:rPr>
                <w:rFonts w:ascii="Times New Roman" w:hAnsi="Times New Roman" w:cs="Times New Roman" w:eastAsia="Times New Roman"/>
                <w:b w:val="false"/>
                <w:sz w:val="26"/>
              </w:rPr>
              <w:t>Thông tư 57/2018/TT-BCT</w:t>
            </w:r>
          </w:p>
        </w:tc>
        <w:tc>
          <w:p/>
          <w:p>
            <w:pPr>
              <w:spacing w:after="0" w:before="0" w:lineRule="auto" w:line="276"/>
              <w:jc w:val="left"/>
            </w:pPr>
            <w:r>
              <w:rPr>
                <w:rFonts w:ascii="Times New Roman" w:hAnsi="Times New Roman" w:cs="Times New Roman" w:eastAsia="Times New Roman"/>
                <w:b w:val="false"/>
                <w:sz w:val="26"/>
              </w:rPr>
              <w:t>26-12-2018</w:t>
            </w:r>
          </w:p>
        </w:tc>
        <w:tc>
          <w:p/>
        </w:tc>
      </w:tr>
      <w:tr>
        <w:tc>
          <w:p/>
          <w:p>
            <w:pPr>
              <w:spacing w:after="0" w:before="0" w:lineRule="auto" w:line="276"/>
              <w:jc w:val="left"/>
            </w:pPr>
            <w:r>
              <w:rPr>
                <w:rFonts w:ascii="Times New Roman" w:hAnsi="Times New Roman" w:cs="Times New Roman" w:eastAsia="Times New Roman"/>
                <w:b w:val="false"/>
                <w:sz w:val="26"/>
              </w:rPr>
              <w:t>43/2023/TT-BCT</w:t>
            </w:r>
          </w:p>
        </w:tc>
        <w:tc>
          <w:p/>
          <w:p>
            <w:pPr>
              <w:spacing w:after="0" w:before="0" w:lineRule="auto" w:line="276"/>
              <w:jc w:val="left"/>
            </w:pPr>
            <w:r>
              <w:rPr>
                <w:rFonts w:ascii="Times New Roman" w:hAnsi="Times New Roman" w:cs="Times New Roman" w:eastAsia="Times New Roman"/>
                <w:b w:val="false"/>
                <w:sz w:val="26"/>
              </w:rPr>
              <w:t>Thông tư số 43/2023/TT_BCT</w:t>
            </w:r>
          </w:p>
        </w:tc>
        <w:tc>
          <w:p/>
          <w:p>
            <w:pPr>
              <w:spacing w:after="0" w:before="0" w:lineRule="auto" w:line="276"/>
              <w:jc w:val="left"/>
            </w:pPr>
            <w:r>
              <w:rPr>
                <w:rFonts w:ascii="Times New Roman" w:hAnsi="Times New Roman" w:cs="Times New Roman" w:eastAsia="Times New Roman"/>
                <w:b w:val="false"/>
                <w:sz w:val="26"/>
              </w:rPr>
              <w:t>28-12-2023</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Giấy phép chế biến nguyên liệu thuốc lá;
- Hợp đồng sản xuất xuất khẩu hoặc gia công xuất khẩu sản phẩm thuốc lá;
- Được sự đồng ý của Bộ Công Thương.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https://thutuc.dichvucong.gov.vn/p/home/dvc-tthc-thu-tuc-hanh-chinh-chi-tiet.html?ma_thu_tuc=1401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2025-11-27T08:38:34Z</dcterms:created>
  <dc:creator>Apache POI</dc:creator>
</cp:coreProperties>
</file>