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xác nhận đủ điều kiện làm tổng đại lý kinh doanh xăng dầu (có hệ thống phân phối xăng dầu trên địa bàn 2 tỉnh, thành phố trực thuộc Trung ương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sửa đổi, bổ sung Giấy xác nhận đủ điều kiện làm tổng đại lý kinh doanh xăng dầu theo Mẫu số 8 tại Phụ lục kèm theo Nghị định số 83/2014/NĐ-CP cho thương nhân. Trường hợp từ chối cấp Giấy xác nhận, Bộ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có thay đổi các nội dung của Giấy xác nhận đủ điều kiện làm tổng đại lý kinh doanh xăng dầu, thương nhân phải lập hồ sơ gửi về cơ quan có thẩm quyền đề nghị bổ sung, sửa đổi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bổ sung, sửa đổi Giấy xác nhận đủ điều kiện làm tổng đại lý kinh doanh xăng dầu theo Mẫu số 7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Mẫu số 7.doc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Giấy xác nhận đủ điều kiện làm tổng đại lý kinh doanh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tổng đại lý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80</w:t>
            </w:r>
          </w:p>
        </w:tc>
        <w:tc>
          <w:p/>
          <w:p>
            <w:pPr>
              <w:spacing w:after="0" w:before="0" w:lineRule="auto" w:line="276"/>
              <w:jc w:val="left"/>
            </w:pPr>
            <w:r>
              <w:rPr>
                <w:rFonts w:ascii="Times New Roman" w:hAnsi="Times New Roman" w:cs="Times New Roman" w:eastAsia="Times New Roman"/>
                <w:b w:val="false"/>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17-11-2023</w:t>
            </w:r>
          </w:p>
        </w:tc>
        <w:tc>
          <w:p/>
          <w:p>
            <w:pPr>
              <w:spacing w:after="0" w:before="0" w:lineRule="auto" w:line="276"/>
              <w:jc w:val="left"/>
            </w:pPr>
            <w:r>
              <w:rPr>
                <w:rFonts w:ascii="Times New Roman" w:hAnsi="Times New Roman" w:cs="Times New Roman" w:eastAsia="Times New Roman"/>
                <w:b w:val="false"/>
                <w:sz w:val="26"/>
              </w:rPr>
              <w:t>Văn phòng Chính phủ</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tổng đại lý kinh doanh xăng dầu.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2025-11-27T08:40:39Z</dcterms:created>
  <dc:creator>Apache POI</dc:creator>
</cp:coreProperties>
</file>