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1.002129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3225/QĐ-BCT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dịch vụ nổ mìn tại địa phương có phạm vi hoạt động giới hạn trong địa bàn đất liền của 01 (một) tỉnh hoặc thành phố trực thuộc trung 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Vật liệu nổ công nghiệp, tiền chất thuốc nổ</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Nộp hồ sơ trên Cổng dịch vụ công quốc gia, Hệ thống thông tin giải quyết thủ tục hành chính của Bộ Công Thương hoặc gửi qua đường bưu chính về cơ quan có thẩm quyền do Bộ trưởng Bộ Công Thương quy định; trường hợp trực tiếp nộp hồ sơ thì văn bản đề nghị bổ sung họ tên, số định danh cá nhân hoặc số hộ chiếu của người đến liên hệ.</w:t>
      </w:r>
    </w:p>
    <w:p>
      <w:pPr>
        <w:spacing w:after="0" w:before="0" w:lineRule="auto" w:line="276"/>
        <w:jc w:val="both"/>
      </w:pPr>
      <w:r>
        <w:rPr>
          <w:rFonts w:ascii="Times New Roman" w:hAnsi="Times New Roman" w:cs="Times New Roman" w:eastAsia="Times New Roman"/>
          <w:b w:val="false"/>
          <w:sz w:val="26"/>
        </w:rPr>
        <w:t>Trong thời hạn 05 ngày làm việc kể từ ngày nhận đủ hồ sơ, cơ quan có thẩm quyền kiểm tra hồ sơ, điều kiện thực tế, cấp giấy phép dịch vụ nổ mìn; trường hợp không cấp phải trả lời bằng văn bản và nêu rõ lý do.</w:t>
      </w:r>
    </w:p>
    <w:p>
      <w:pPr>
        <w:spacing w:after="0" w:before="0" w:lineRule="auto" w:line="276"/>
        <w:jc w:val="both"/>
      </w:pPr>
      <w:r>
        <w:rPr>
          <w:rFonts w:ascii="Times New Roman" w:hAnsi="Times New Roman" w:cs="Times New Roman" w:eastAsia="Times New Roman"/>
          <w:b w:val="false"/>
          <w:sz w:val="26"/>
        </w:rPr>
        <w:t>Cục Kỹ thuật an toàn và Môi trường công nghiệp có thẩm quyền cấp giấy phép dịch vụ nổ mìn tại địa phương có phạm vi hoạt động giới hạn trong địa bàn đất liền của 01 (một) tỉnh hoặc thành phố trực thuộc Trung ương.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148/2016/TT-BTC được sửa đổi, bổ sung bởi Thông tư số 53/2019/TT-BTC)</w:t>
            </w:r>
          </w:p>
        </w:tc>
        <w:tc>
          <w:p/>
          <w:p>
            <w:pPr>
              <w:spacing w:after="0" w:before="0" w:lineRule="auto" w:line="276"/>
              <w:jc w:val="left"/>
            </w:pPr>
            <w:r>
              <w:rPr>
                <w:rFonts w:ascii="Times New Roman" w:hAnsi="Times New Roman" w:cs="Times New Roman" w:eastAsia="Times New Roman"/>
                <w:b w:val="false"/>
                <w:sz w:val="26"/>
              </w:rPr>
              <w:t>- 05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148/2016/TT-BTC được sửa đổi, bổ sung bởi Thông tư số 53/2019/TT-BTC)</w:t>
            </w:r>
          </w:p>
        </w:tc>
        <w:tc>
          <w:p/>
          <w:p>
            <w:pPr>
              <w:spacing w:after="0" w:before="0" w:lineRule="auto" w:line="276"/>
              <w:jc w:val="left"/>
            </w:pPr>
            <w:r>
              <w:rPr>
                <w:rFonts w:ascii="Times New Roman" w:hAnsi="Times New Roman" w:cs="Times New Roman" w:eastAsia="Times New Roman"/>
                <w:b w:val="false"/>
                <w:sz w:val="26"/>
              </w:rPr>
              <w:t>- 05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148/2016/TT-BTC được sửa đổi, bổ sung bởi Thông tư số 53/2019/TT-BTC)</w:t>
            </w:r>
          </w:p>
        </w:tc>
        <w:tc>
          <w:p/>
          <w:p>
            <w:pPr>
              <w:spacing w:after="0" w:before="0" w:lineRule="auto" w:line="276"/>
              <w:jc w:val="left"/>
            </w:pPr>
            <w:r>
              <w:rPr>
                <w:rFonts w:ascii="Times New Roman" w:hAnsi="Times New Roman" w:cs="Times New Roman" w:eastAsia="Times New Roman"/>
                <w:b w:val="false"/>
                <w:sz w:val="26"/>
              </w:rPr>
              <w:t>- 05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cấp giấy phép dịch vụ nổ mìn của Ủy ban nhân dân cấp tỉnh</w:t>
            </w:r>
          </w:p>
        </w:tc>
        <w:tc>
          <w:p/>
          <w:p>
            <w:pPr>
              <w:spacing w:after="0" w:before="0" w:lineRule="auto" w:line="276"/>
              <w:jc w:val="left"/>
            </w:pPr>
            <w:r>
              <w:rPr>
                <w:rFonts w:ascii="Times New Roman" w:hAnsi="Times New Roman" w:cs="Times New Roman" w:eastAsia="Times New Roman"/>
                <w:b w:val="false"/>
                <w:sz w:val="26"/>
              </w:rPr>
              <w:t>Mau05.docx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Đề án dịch vụ nổ mìn nêu rõ mục tiêu, quy mô, phạm vi, tính phù hợp quy hoạch, nhu cầu về dịch vụ nổ mìn và khả năng đáp ứng của doanh nghiệp; các điều kiện cần thiết và giải pháp bảo đảm về an ninh, an toàn trong hoạt động cung ứng dịch vụ nổ mìn; bản sao giấy phép sử dụng vật liệu nổ công nghiệp hoặc giấy phép dịch vụ nổ mìn và phương án nổ mìn điển hình đã thực hiện trong 02 năm trở về trước tính từ thời điểm đề nghị cấp giấy phép dịch vụ nổ mìn; giấy tờ, tài liệu quy định tại điểm đ, e và g khoản 1 Điều 39 của Luật số 42/2024/QH15</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doanh nghiệp đã có giấy phép kinh doanh vật liệu nổ công nghiệp thì hồ sơ không bao gồm giấy tờ, tài liệu quy định tại điểm b khoản này và điểm đ khoản 1 Điều 39 của Luật số 42/2024/QH15</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Kỹ thuật an toàn và Môi trường công nghiệp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dịch vụ nổ mìn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42/2024/QH15</w:t>
            </w:r>
          </w:p>
        </w:tc>
        <w:tc>
          <w:p/>
          <w:p>
            <w:pPr>
              <w:spacing w:after="0" w:before="0" w:lineRule="auto" w:line="276"/>
              <w:jc w:val="left"/>
            </w:pPr>
            <w:r>
              <w:rPr>
                <w:rFonts w:ascii="Times New Roman" w:hAnsi="Times New Roman" w:cs="Times New Roman" w:eastAsia="Times New Roman"/>
                <w:b w:val="false"/>
                <w:sz w:val="26"/>
              </w:rPr>
              <w:t>Luật Quản lý, sử dụng vũ khí, vật liệu nổ và công cụ hỗ trợ</w:t>
            </w:r>
          </w:p>
        </w:tc>
        <w:tc>
          <w:p/>
          <w:p>
            <w:pPr>
              <w:spacing w:after="0" w:before="0" w:lineRule="auto" w:line="276"/>
              <w:jc w:val="left"/>
            </w:pPr>
            <w:r>
              <w:rPr>
                <w:rFonts w:ascii="Times New Roman" w:hAnsi="Times New Roman" w:cs="Times New Roman" w:eastAsia="Times New Roman"/>
                <w:b w:val="false"/>
                <w:sz w:val="26"/>
              </w:rPr>
              <w:t>29-06-2024</w:t>
            </w:r>
          </w:p>
        </w:tc>
        <w:tc>
          <w:p/>
        </w:tc>
      </w:tr>
      <w:tr>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07-11-2024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Được thành lập theo quy định của pháp luật, có đăng ký ngành, nghề cung ứng dịch vụ nổ mìn;  
+ Có đủ điều kiện về sử dụng, bảo quản và vận chuyển vật liệu nổ công nghiệp theo quy định của Luật này; có cơ sở vật chất, kỹ thuật và nhân sự bảo đảm cung ứng dịch vụ nổ mìn cho tổ chức, cá nhân thuê dịch vụ;
+ Có quyền và nghĩa vụ theo quy định của Luật này và quy định khác của pháp luật có liên quan khi sử dụng, bảo quản, vận chuyển vật liệu nổ công nghiệp để thực hiện dịch vụ nổ mìn.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https://thutuc.dichvucong.gov.vn/p/home/dvc-tthc-thu-tuc-hanh-chinh-chi-tiet.html?ma_thu_tuc=3061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2025-11-27T08:40:38Z</dcterms:created>
  <dc:creator>Apache POI</dc:creator>
</cp:coreProperties>
</file>