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1.002960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Venezuela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không ưu đãi mẫu Venezuela đã được khai hoàn chỉnh (theo mẫu quy định tại Nghị quyết số 1195 của Bộ Tài chính và số 452 của Bộ Sản xuất và Thương mại Bôliva, Vê-nê-xu-ê-la ngày 28/10/2002;</w:t>
            </w:r>
          </w:p>
        </w:tc>
        <w:tc>
          <w:p/>
          <w:p>
            <w:pPr>
              <w:spacing w:after="0" w:before="0" w:lineRule="auto" w:line="276"/>
              <w:jc w:val="left"/>
            </w:pPr>
            <w:r>
              <w:rPr>
                <w:rFonts w:ascii="Times New Roman" w:hAnsi="Times New Roman" w:cs="Times New Roman" w:eastAsia="Times New Roman"/>
                <w:b w:val="false"/>
                <w:sz w:val="26"/>
              </w:rPr>
              <w:t>Mau Venezuala.docx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Venezuela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Quy định chi tiết Luật Quản lý ngoại thương về xuất xứ hàng hoá</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Quy định về xuất xứ hàng hóa</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2025-11-27T08:40:46Z</dcterms:created>
  <dc:creator>Apache POI</dc:creator>
</cp:coreProperties>
</file>