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gửi 01 (một) bộ hồ sơ đề nghị cấp lại Giấy phép kinh doanh nhập khẩu ô tô trực tiếp hoặc qua hệ thống bưu chính hoặc hình thức phù hợp khác tới Bộ Công Thương theo địa chỉ: Bộ Công Thương: Số 54 Hai Bà Trưng, quận Hoàn Kiếm, thành phố Hà Nội.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07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được hồ sơ đầy đủ và hợp lệ, Bộ Công Thương xem xét cấp lại Giấy phép kinh doanh nhập khẩu ô tô cho doanh nghiệp. Trường hợp không cấp lại Giấy phép, Bộ Công Thương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(Không có thông tin)</w:t>
            </w:r>
          </w:p>
          <w:p>
            <w:pPr>
              <w:spacing w:after="0" w:before="0" w:lineRule="auto" w:line="276"/>
              <w:jc w:val="left"/>
            </w:pPr>
            <w:r>
              <w:rPr>
                <w:rFonts w:ascii="Times New Roman" w:hAnsi="Times New Roman" w:cs="Times New Roman" w:eastAsia="Times New Roman"/>
                <w:b w:val="false"/>
                <w:sz w:val="26"/>
              </w:rPr>
              <w:t xml:space="preserve">Phí :  </w:t>
              <w:t xml:space="preserve"> (Không có thông tin)</w:t>
            </w:r>
          </w:p>
        </w:tc>
        <w:tc>
          <w:p/>
          <w:p>
            <w:pPr>
              <w:spacing w:after="0" w:before="0" w:lineRule="auto" w:line="276"/>
              <w:jc w:val="left"/>
            </w:pPr>
            <w:r>
              <w:rPr>
                <w:rFonts w:ascii="Times New Roman" w:hAnsi="Times New Roman" w:cs="Times New Roman" w:eastAsia="Times New Roman"/>
                <w:b w:val="false"/>
                <w:sz w:val="26"/>
              </w:rPr>
              <w:t>Trực tiếp hoặc qua hệ thống bưu chính hoặc hình thức phù hợp khác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(Không có thông tin)</w:t>
            </w:r>
          </w:p>
          <w:p>
            <w:pPr>
              <w:spacing w:after="0" w:before="0" w:lineRule="auto" w:line="276"/>
              <w:jc w:val="left"/>
            </w:pPr>
            <w:r>
              <w:rPr>
                <w:rFonts w:ascii="Times New Roman" w:hAnsi="Times New Roman" w:cs="Times New Roman" w:eastAsia="Times New Roman"/>
                <w:b w:val="false"/>
                <w:sz w:val="26"/>
              </w:rPr>
              <w:t xml:space="preserve">Lệ phí :  </w:t>
              <w:t xml:space="preserve"> (Không có thông tin)</w:t>
            </w:r>
          </w:p>
        </w:tc>
        <w:tc>
          <w:p/>
          <w:p>
            <w:pPr>
              <w:spacing w:after="0" w:before="0" w:lineRule="auto" w:line="276"/>
              <w:jc w:val="left"/>
            </w:pPr>
            <w:r>
              <w:rPr>
                <w:rFonts w:ascii="Times New Roman" w:hAnsi="Times New Roman" w:cs="Times New Roman" w:eastAsia="Times New Roman"/>
                <w:b w:val="false"/>
                <w:sz w:val="26"/>
              </w:rPr>
              <w:t>Không có thông tin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kinh doanh nhập khẩu ô tô, trong đó nêu rõ lý do mất, thất lạc, hư hỏng (Mẫu số 07 Phụ lục II ban hành kèm theo Nghị định 116/2017/NĐ-CP)</w:t>
            </w:r>
          </w:p>
        </w:tc>
        <w:tc>
          <w:p/>
          <w:p>
            <w:pPr>
              <w:spacing w:after="0" w:before="0" w:lineRule="auto" w:line="276"/>
              <w:jc w:val="left"/>
            </w:pPr>
            <w:r>
              <w:rPr>
                <w:rFonts w:ascii="Times New Roman" w:hAnsi="Times New Roman" w:cs="Times New Roman" w:eastAsia="Times New Roman"/>
                <w:b w:val="false"/>
                <w:sz w:val="26"/>
              </w:rPr>
              <w:t>MẪU SỐ 07 Ô TÔ .docx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76/2015/QH13</w:t>
            </w:r>
          </w:p>
        </w:tc>
        <w:tc>
          <w:p/>
          <w:p>
            <w:pPr>
              <w:spacing w:after="0" w:before="0" w:lineRule="auto" w:line="276"/>
              <w:jc w:val="left"/>
            </w:pPr>
            <w:r>
              <w:rPr>
                <w:rFonts w:ascii="Times New Roman" w:hAnsi="Times New Roman" w:cs="Times New Roman" w:eastAsia="Times New Roman"/>
                <w:b w:val="false"/>
                <w:sz w:val="26"/>
              </w:rPr>
              <w:t>Luật 76/2015/QH13</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kinh doanh nhập khẩu ô tô được cấp lại trong trường hợp Giấy phép kinh doanh nhập khẩu ô tô bị mất hoặc bị hỏng.
- Có cơ sở bảo hành, bảo dưỡng ô tô thuộc sở hữu của doanh nghiệp, hoặc do doanh nghiệp ký hợp đồng thuê, hoặc thuộc hệ thống đại lý ủy quyền của doanh nghiệp đáp ứng quy định tại Nghị định 116/2017/NĐ-CP.
- Có văn bản xác nhận hoặc tài liệu chứng minh doanh nghiệp được quyền thay mặt doanh nghiệp sản xuất, lắp ráp ô tô nước ngoài thực hiện lệnh triệu hồi ô tô nhập khẩu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2025-11-27T08:40:52Z</dcterms:created>
  <dc:creator>Apache POI</dc:creator>
</cp:coreProperties>
</file>