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1.003129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thành lập Sở Giao dịch hàng hóa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Sở giao dịch hàng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Sở Giao dịch hàng hóa nộp hồ sơ đề nghị cấp sửa đổi, bổ sung Giấy phép thành lập Sở Giao dịch hàng hóa trực tiếp hoặc theo đường bưu điện</w:t>
      </w:r>
    </w:p>
    <w:p>
      <w:pPr>
        <w:spacing w:after="0" w:before="0" w:lineRule="auto" w:line="276"/>
        <w:jc w:val="both"/>
      </w:pPr>
      <w:r>
        <w:rPr>
          <w:rFonts w:ascii="Times New Roman" w:hAnsi="Times New Roman" w:cs="Times New Roman" w:eastAsia="Times New Roman"/>
          <w:b w:val="false"/>
          <w:sz w:val="26"/>
        </w:rPr>
        <w:t>2. Trong thời hạn 10 ngày làm việc kể từ ngày nhận được hồ sơ hợp lệ, Bộ Công Thương quyết định việc sửa đổi, bổ sung Giấy phép thành lập Sở Giao dịch hàng hóa. Trong trường hợp không sửa đổi, bổ sung Giấy phép thành lập Sở Giao dịch hàng hóa, Bộ Công Thương thông báo bằng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sửa đổi, bổ sung Giấy phép thành lập Sở Giao dịch hàng hóa theo Mẫu số 02; ban hành kèm theo Nghị định 51/2018/NĐ-CP ngày 9/4/2018</w:t>
            </w:r>
          </w:p>
        </w:tc>
        <w:tc>
          <w:p/>
          <w:p>
            <w:pPr>
              <w:spacing w:after="0" w:before="0" w:lineRule="auto" w:line="276"/>
              <w:jc w:val="left"/>
            </w:pPr>
            <w:r>
              <w:rPr>
                <w:rFonts w:ascii="Times New Roman" w:hAnsi="Times New Roman" w:cs="Times New Roman" w:eastAsia="Times New Roman"/>
                <w:b w:val="false"/>
                <w:sz w:val="26"/>
              </w:rPr>
              <w:t>Mẫu số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phép thành lập Sở Giao dịch hàng hóa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Các tài liệu chứng minh yêu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Thị trường trong nước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54 Hai Bà Trưng, Quận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Sở Giao dịch hàng hóa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158/2006/NĐ-CP</w:t>
            </w:r>
          </w:p>
        </w:tc>
        <w:tc>
          <w:p/>
          <w:p>
            <w:pPr>
              <w:spacing w:after="0" w:before="0" w:lineRule="auto" w:line="276"/>
              <w:jc w:val="left"/>
            </w:pPr>
            <w:r>
              <w:rPr>
                <w:rFonts w:ascii="Times New Roman" w:hAnsi="Times New Roman" w:cs="Times New Roman" w:eastAsia="Times New Roman"/>
                <w:b w:val="false"/>
                <w:sz w:val="26"/>
              </w:rPr>
              <w:t>Nghị định 158/2006/NĐ-CP</w:t>
            </w:r>
          </w:p>
        </w:tc>
        <w:tc>
          <w:p/>
          <w:p>
            <w:pPr>
              <w:spacing w:after="0" w:before="0" w:lineRule="auto" w:line="276"/>
              <w:jc w:val="left"/>
            </w:pPr>
            <w:r>
              <w:rPr>
                <w:rFonts w:ascii="Times New Roman" w:hAnsi="Times New Roman" w:cs="Times New Roman" w:eastAsia="Times New Roman"/>
                <w:b w:val="false"/>
                <w:sz w:val="26"/>
              </w:rPr>
              <w:t>28-12-2006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51/2018/NĐ-CP</w:t>
            </w:r>
          </w:p>
        </w:tc>
        <w:tc>
          <w:p/>
          <w:p>
            <w:pPr>
              <w:spacing w:after="0" w:before="0" w:lineRule="auto" w:line="276"/>
              <w:jc w:val="left"/>
            </w:pPr>
            <w:r>
              <w:rPr>
                <w:rFonts w:ascii="Times New Roman" w:hAnsi="Times New Roman" w:cs="Times New Roman" w:eastAsia="Times New Roman"/>
                <w:b w:val="false"/>
                <w:sz w:val="26"/>
              </w:rPr>
              <w:t>Nghị định 51/2018/NĐ-CP</w:t>
            </w:r>
          </w:p>
        </w:tc>
        <w:tc>
          <w:p/>
          <w:p>
            <w:pPr>
              <w:spacing w:after="0" w:before="0" w:lineRule="auto" w:line="276"/>
              <w:jc w:val="left"/>
            </w:pPr>
            <w:r>
              <w:rPr>
                <w:rFonts w:ascii="Times New Roman" w:hAnsi="Times New Roman" w:cs="Times New Roman" w:eastAsia="Times New Roman"/>
                <w:b w:val="false"/>
                <w:sz w:val="26"/>
              </w:rPr>
              <w:t>09-04-2018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Thương mại</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Sở Giao dịch hàng hóa có sự thay đổi một trong các nội dung tại Giấy phép thành lập Sở Giao dịch hàng hóa theo quy định tại Điều 11 Nghị định 51/2018/NĐ-CP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Sở giao dịch hàng hóa</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https://thutuc.dichvucong.gov.vn/p/home/dvc-tthc-thu-tuc-hanh-chinh-chi-tiet.html?ma_thu_tuc=4435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2025-11-27T08:41:05Z</dcterms:created>
  <dc:creator>Apache POI</dc:creator>
</cp:coreProperties>
</file>