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1.003400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Thổ Nhĩ Kỳ</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không ưu đãi mẫu Thổ Nhĩ Kỳ đã được khai hoàn chỉnh (theo mẫu quy định tại Luật Hải quan số 4458 ngày 27/10/1999);</w:t>
            </w:r>
          </w:p>
        </w:tc>
        <w:tc>
          <w:p/>
          <w:p>
            <w:pPr>
              <w:spacing w:after="0" w:before="0" w:lineRule="auto" w:line="276"/>
              <w:jc w:val="left"/>
            </w:pPr>
            <w:r>
              <w:rPr>
                <w:rFonts w:ascii="Times New Roman" w:hAnsi="Times New Roman" w:cs="Times New Roman" w:eastAsia="Times New Roman"/>
                <w:b w:val="false"/>
                <w:sz w:val="26"/>
              </w:rPr>
              <w:t>Mau Peru.docx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Thổ Nhĩ Kỳ</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Quy định chi tiết Luật Quản lý ngoại thương về xuất xứ hàng hoá</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Quy định về xuất xứ hàng hóa</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2025-11-27T08:41:22Z</dcterms:created>
  <dc:creator>Apache POI</dc:creator>
</cp:coreProperties>
</file>