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1.003438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nhập khẩu các mặt hàng có ảnh hưởng trực tiếp đến quốc phòng, an ninh (nhưng không phục vụ mục đích quốc phòng, an ninh)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cấp giấy phép nhập khẩu hàng hóa có ảnh hưởng trực tiếp đến quốc phòng, an ninh đến cơ quan cấp phép.
- Trường hợp hồ sơ chưa đầy đủ, đúng quy định hoặc cần bổ sung tài liệu giải trình, trong thời hạn 03 ngày làm việc, kể từ ngày tiếp nhận hồ sơ, cơ quan cấp phép thông báo để thương nhân hoàn thiện hồ sơ.
- Trong thời hạn 03 ngày làm việc, kể từ ngày nhận được hồ sơ đầy đủ, đúng quy định, cơ quan cấp phép xin ý kiến các cơ quan liên quan. 
- Trong thời hạn 07 ngày làm việc, kể từ ngày nhận được văn bản xin ý kiến, các cơ quan liên quan có văn bản trả lời cơ quan cấp phép.
- Trong thời hạn 07 ngày làm việc kể từ ngày nhận được đầy đủ ý kiến trả lời của các cơ quan liên quan, cơ quan cấp phép có văn bản trả lời về việc cho phép hay không cho phép nhập khẩu hàng hóa. Trường hợp không cho phép, phải nêu rõ lý do.
- Việc cấp sửa đổi, bổ sung giấy phép, cấp lại giấy phép do mất, thất lạc thực hiện theo nguyên tắc sau:
+ Thương nhân chỉ phải nộp các giấy tờ liên quan đến nội dung cần sửa đổi, bổ sung.
+ Thời gian cấp sửa đổi, bổ sung, cấp lại không dài hơn thời gian cấp giấy phép xuất khẩu, nhập khẩu.
	+ Trường hợp từ chối sửa đổi, bổ sung, cấp lại giấy phép, cơ quan cấp phép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Theo quy định tại Điều 19 Nghị định số 69/2018/NĐ-CP</w:t>
            </w:r>
          </w:p>
        </w:tc>
        <w:tc>
          <w:p/>
          <w:p>
            <w:pPr>
              <w:spacing w:after="0" w:before="0" w:lineRule="auto" w:line="276"/>
              <w:jc w:val="left"/>
            </w:pPr>
            <w:r>
              <w:rPr>
                <w:rFonts w:ascii="Times New Roman" w:hAnsi="Times New Roman" w:cs="Times New Roman" w:eastAsia="Times New Roman"/>
                <w:b w:val="false"/>
                <w:sz w:val="26"/>
              </w:rPr>
              <w:t>Giaypheptamnhap.docx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54 Hai Bà Trưng, quận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các mặt hàng có ảnh hưởng đến QPAN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2025-11-27T08:41:36Z</dcterms:created>
  <dc:creator>Apache POI</dc:creator>
</cp:coreProperties>
</file>