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1.003775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sản xuất hóa chất Bảng 1</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Hóa chất</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Trường hợp Giấy phép bị mất, sai sót, hư hỏng hoặc có thay đổi về thông tin của tổ chức, cá nhân, tổ chức, cá nhân lập 01 bộ hồ sơ đề nghị cấp lại Giấy phép và gửi Ủy ban nhân dân cấp tỉnh.
	- Trong thời hạn 05 ngày làm việc kể từ ngày nhận đủ hồ sơ hợp lệ, Ủy ban nhân dân cấp tỉnh kiểm tra và cấp lại Giấy phép cho tổ chức, cá nhân. Trường hợp không cấp lại Giấy phép, Ủy ban nhân dân cấp tỉnh có văn bản trả lời,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(Thực hiện theo Thông tư số 08/2018/TT-BTC ngày 25 tháng 01 năm 2018 của Bộ Tài chính quy định mức thu, chế độ thu, nộp, quản lý và sử dụng phí trong hoạt động hóa chất.)</w:t>
            </w:r>
          </w:p>
          <w:p>
            <w:pPr>
              <w:spacing w:after="0" w:before="0" w:lineRule="auto" w:line="276"/>
              <w:jc w:val="left"/>
            </w:pPr>
            <w:r>
              <w:rPr>
                <w:rFonts w:ascii="Times New Roman" w:hAnsi="Times New Roman" w:cs="Times New Roman" w:eastAsia="Times New Roman"/>
                <w:b w:val="false"/>
                <w:sz w:val="26"/>
              </w:rPr>
              <w:t xml:space="preserve">Lệ phí :  </w:t>
              <w:t xml:space="preserve"> (Thực hiện theo Thông tư số 08/2018/TT-BTC ngày 25 tháng 01 năm 2018 của Bộ Tài chính quy định mức thu, chế độ thu, nộp, quản lý và sử dụng phí trong hoạt động hóa chất.)</w:t>
            </w:r>
          </w:p>
        </w:tc>
        <w:tc>
          <w:p/>
          <w:p>
            <w:pPr>
              <w:spacing w:after="0" w:before="0" w:lineRule="auto" w:line="276"/>
              <w:jc w:val="left"/>
            </w:pPr>
            <w:r>
              <w:rPr>
                <w:rFonts w:ascii="Times New Roman" w:hAnsi="Times New Roman" w:cs="Times New Roman" w:eastAsia="Times New Roman"/>
                <w:b w:val="false"/>
                <w:sz w:val="26"/>
              </w:rPr>
              <w:t>05 (năm)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phép theo mẫu quy định tại Mẫu số 01 Phụ lục II ban hành kèm theo Nghị định số 33/2024/NĐ-CP ngày 27 tháng 3 năm 2024.;</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chính Giấy phép đã được cấp trong trường hợp Giấy phép bị sai sót hoặc có thay đổi về thông tin đăng ký thành lập của tổ chức, cá nhân; phần bản chính còn lại có thể nhận dạng được của Giấy phép trong trường hợp Giấy phép bị hư hỏng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sản xuất hóa chất Bảng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06/2007/QH12</w:t>
            </w:r>
          </w:p>
        </w:tc>
        <w:tc>
          <w:p/>
          <w:p>
            <w:pPr>
              <w:spacing w:after="0" w:before="0" w:lineRule="auto" w:line="276"/>
              <w:jc w:val="left"/>
            </w:pPr>
            <w:r>
              <w:rPr>
                <w:rFonts w:ascii="Times New Roman" w:hAnsi="Times New Roman" w:cs="Times New Roman" w:eastAsia="Times New Roman"/>
                <w:b w:val="false"/>
                <w:sz w:val="26"/>
              </w:rPr>
              <w:t>Luật 06/2007/QH12 - Hóa chất</w:t>
            </w:r>
          </w:p>
        </w:tc>
        <w:tc>
          <w:p/>
          <w:p>
            <w:pPr>
              <w:spacing w:after="0" w:before="0" w:lineRule="auto" w:line="276"/>
              <w:jc w:val="left"/>
            </w:pPr>
            <w:r>
              <w:rPr>
                <w:rFonts w:ascii="Times New Roman" w:hAnsi="Times New Roman" w:cs="Times New Roman" w:eastAsia="Times New Roman"/>
                <w:b w:val="false"/>
                <w:sz w:val="26"/>
              </w:rPr>
              <w:t>21-11-2007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33/2024/NĐ-CP</w:t>
            </w:r>
          </w:p>
        </w:tc>
        <w:tc>
          <w:p/>
          <w:p>
            <w:pPr>
              <w:spacing w:after="0" w:before="0" w:lineRule="auto" w:line="276"/>
              <w:jc w:val="left"/>
            </w:pPr>
            <w:r>
              <w:rPr>
                <w:rFonts w:ascii="Times New Roman" w:hAnsi="Times New Roman" w:cs="Times New Roman" w:eastAsia="Times New Roman"/>
                <w:b w:val="false"/>
                <w:sz w:val="26"/>
              </w:rPr>
              <w:t>Nghị định số 33/2024/NĐ</w:t>
            </w:r>
          </w:p>
        </w:tc>
        <w:tc>
          <w:p/>
          <w:p>
            <w:pPr>
              <w:spacing w:after="0" w:before="0" w:lineRule="auto" w:line="276"/>
              <w:jc w:val="left"/>
            </w:pPr>
            <w:r>
              <w:rPr>
                <w:rFonts w:ascii="Times New Roman" w:hAnsi="Times New Roman" w:cs="Times New Roman" w:eastAsia="Times New Roman"/>
                <w:b w:val="false"/>
                <w:sz w:val="26"/>
              </w:rPr>
              <w:t>27-03-2024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Điều kiện chung
- Là doanh nghiệp được thành lập theo quy định của pháp luật; 
- Cơ sở vật chất - kỹ thuật phải đáp ứng yêu cầu trong sản xuất theo quy định tại khoản 1 Điều 8 Nghị định số 33/2024/NĐ-CP ngày 27 tháng 3 năm 2024;
- Giám đốc hoặc Phó Giám đốc kỹ thuật hoặc cán bộ kỹ thuật phụ trách hoạt động sản xuất hóa chất Bảng phải có trình độ từ đại học trở lên về chuyên ngành hóa chất;
- Các đối tượng thuộc quy định tại Điều 32 Nghị định số 113/2017/NĐ-CP phải được huấn luyện an toàn hóa chất.
b) Điều kiện riêng
- Chỉ được sản xuất hóa chất Bảng 1 cho một hoặc một số mục đích đặc biệt được quy định tại khoản 2, Điều 6 Luật Đầu tư, bao gồm phân tích, kiểm nghiệm, nghiên cứu khoa học, y tế, sản xuất dược phẩm, điều tra tội phạm, bảo vệ quốc phòng, an ninh;
- Quy mô sản xuất tại cơ sở quy mô đơn lẻ, dung tích của các thiết bị phản ứng không vượt quá 100 lít và tổng dung tích của các thiết bị phản ứng có dung tích trên 5 lít không vượt quá 500 lít. Quy mô sản xuất tại các cơ sở khác, tổng sản lượng không vượt quá 10 kg/năm đối với mục đích bảo vệ; sản lượng không vượt quá 100 gam/năm đối với một hoá chất nhưng tổng sản lượng không vượt quá 10 kg/năm đối với mục đích nghiên cứu, y tế, dược phẩm; tổng sản lượng không vượt quá 100 gam/năm đối với các phòng thí nghiệm.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2025-11-27T08:41:50Z</dcterms:created>
  <dc:creator>Apache POI</dc:creator>
</cp:coreProperties>
</file>