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1.003951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gia hạn chỉ định cơ sở kiểm nghiệm thực phẩm phục vụ quản lý nhà nước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An toàn thực phẩm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Trước khi Quyết định chỉ định hết hiệu lực chín mươi (90) ngày, cơ sở kiểm nghiệm gửi một (01) bộ hồ sơ gia hạn chỉ định cho cơ quan quản lý nhà nước có thẩm quyền. 
- Trong thời gian mười (10) ngày làm việc, kể từ ngày nhận hồ sơ, cơ quan quản lý nhà nước có thẩm quyền tiến hành soát xét hồ sơ. Nếu có yêu cầu sửa đổi, bổ sung phải có văn bản thông báo cho đơn vị nộp hồ sơ để hoàn chỉnh hồ sơ theo đúng quy định. Trường hợp không có yêu cầu sửa đổi, bổ sung thì cơ quan quản lý nhà nước có thẩm quyền tiến hành đánh giá theo quy định tại Điều 10 Thông tư liên tịch số 20/2013/TTLT-BYT-BCT-BNNPTNT.
- Đối với cơ sở kiểm nghiệm không thuộc đối tượng quy định tại điểm đ khoản 3 Điều 6 Thông tư liên tịch số 20/2013/TTLT-BYT-BCT-BNNPTNT:
+ Trong thời gian mười lăm (15) ngày làm việc, kể từ ngày nhận hồ sơ đầy đủ, hợp lệ, cơ quan quản lý nhà nước có thẩm quyền ký ban hành quyết định thành lập đoàn đánh giá cơ sở kiểm nghiệm.
+ Đoàn đánh giá cơ sở kiểm nghiệm bao gồm các thành viên có kiến thức chuyên môn và kinh nghiệm về lĩnh vực đánh giá, chỉ định.
+ Quyết định thành lập đoàn đánh giá phải nêu rõ phạm vi, nội dung đánh giá, danh sách và phân công trách nhiệm của từng thành viên tiến hành đánh giá tại cơ sở kiểm nghiệm. Trong thời gian năm (05) ngày làm việc, kể từ khi kết thúc đánh giá tại cơ sở 3 đoàn đánh giá phải gửi kết luận về cơ quan quản lý nhà nước có thẩm quyền (Mẫu Biên bản đánh giá cơ sở kiểm nghiệm quy định tại Phụ lục 5 ban hành kèm theo Thông tư liên tịch này).
+ Trong thời gian mười lăm (15) ngày làm việc, kể từ khi nhận được kết luận của đoàn đánh giá, cơ quan quản lý nhà nước có thẩm quyền có trách nhiệm xem xét và chỉ định đơn vị kiểm nghiệm nếu đạt yêu cầu (mẫu Quyết định chỉ định quy định tại Phụ lục 6 ban hành kèm theo Thông tư liên tịch số 20/2013/TTLT-BYT-BCT-BNNPTNT). Nếu không đạt yêu cầu, cơ quan quản lý nhà nước có thẩm quyền phải có thông báo bằng văn bản về lý do không chỉ định cho cơ sở kiểm nghiệm.
+ Trong trường hợp cần thiết, cơ quan quản lý nhà nước có thẩm quyền có thể thành lập hội đồng tư vấn trước khi ký ban hành Quyết định chỉ định.
- Đối với cơ sở kiểm nghiệm quy định tại điểm đ khoản 3 Điều 6 Thông tư liên tịch số 20/2013/TTLT-BYT-BCT-BNNPTNT:
+ Trong thời gian ba mươi (30) ngày làm việc, kể từ ngày nhận hồ sơ đầy đủ, hợp lệ, cơ quan quản lý nhà nước có thẩm quyền thẩm định hồ sơ. Nếu hồ sơ năng lực đáp ứng theo quy định tại Điều 4, Điều 5 của Thông tư liên tịch số 20/2013/TTLT-BYT-BCT-BNNPTNT và các yêu cầu của Bộ quản lý ngành, cơ quan quản lý nhà nước có thẩm quyền ký ban hành Quyết định chỉ định cơ sở kiểm nghiệm kèm theo danh mục các chỉ tiêu/phép thử.
Trường hợp hồ sơ không đạt yêu cầu, cơ quan quản lý nhà nước có thẩm quyền phải có thông báo bằng văn bản về lý do không chỉ định cho cơ sở kiểm nghiệm.
+ Trong trường hợp cần thiết (kết quả thẩm định hồ sơ chưa đủ cơ sở kết luận năng lực phân tích của cơ sở đáp ứng theo quy định tại Điều 5 Thông tư liên tịch số 20/2013/TTLT-BYT-BCT-BNNPTNT), cơ quan quản lý nhà nước có thẩm quyền sẽ thành lập đoàn đánh giá để tiến hành đánh giá tại cơ sở kiểm nghiệm.</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làm việc (chưa bao gồm thời gian đánh giá cơ sở kiểm nghiệm)
</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làm việc (chưa bao gồm thời gian đánh giá cơ sở kiểm nghiệm)
</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làm việc (chưa bao gồm thời gian đánh giá cơ sở kiểm nghiệm)
</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đăng ký gia hạn chỉ định cơ sở kiểm nghiệm theo mẫu quy định tại Phụ lục 1 ban hành kèm theo Thông tư 20/2013/TTLT-BYT-BCT-BNNPTNT;</w:t>
            </w:r>
          </w:p>
        </w:tc>
        <w:tc>
          <w:p/>
          <w:p>
            <w:pPr>
              <w:spacing w:after="0" w:before="0" w:lineRule="auto" w:line="276"/>
              <w:jc w:val="left"/>
            </w:pPr>
            <w:r>
              <w:rPr>
                <w:rFonts w:ascii="Times New Roman" w:hAnsi="Times New Roman" w:cs="Times New Roman" w:eastAsia="Times New Roman"/>
                <w:b w:val="false"/>
                <w:sz w:val="26"/>
              </w:rPr>
              <w:t>GiahanKiemnghiem.docx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Kết quả so sánh liên phòng, thử nghiệm thành thạo đối với chỉ tiêu/phép thử do cơ quan quản lý nhà nước có thẩm quyền hoặc từ các nhà cung cấp thử nghiệm thành thạo, liên quan đến phạm vi đăng ký tổ chức;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kết quả thực hiện công tác kiểm nghiệm trong thời gian được chỉ định theo mẫu quy định tại Phụ lục 4 ban hành kèm theo Thông tư 20/2013/TTLT-BYT-BCT-BNNPTNT.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gia hạn chỉ định của cơ quan quản lý nhà nước có thẩm quyền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127/2007/NĐ-CP</w:t>
            </w:r>
          </w:p>
        </w:tc>
        <w:tc>
          <w:p/>
          <w:p>
            <w:pPr>
              <w:spacing w:after="0" w:before="0" w:lineRule="auto" w:line="276"/>
              <w:jc w:val="left"/>
            </w:pPr>
            <w:r>
              <w:rPr>
                <w:rFonts w:ascii="Times New Roman" w:hAnsi="Times New Roman" w:cs="Times New Roman" w:eastAsia="Times New Roman"/>
                <w:b w:val="false"/>
                <w:sz w:val="26"/>
              </w:rPr>
              <w:t>Nghị định 127/2007/NĐ-CP - Quy định chi tiết thi hành một số điều của Luật Tiêu chuẩn và Quy chuẩn kỹ thuật</w:t>
            </w:r>
          </w:p>
        </w:tc>
        <w:tc>
          <w:p/>
          <w:p>
            <w:pPr>
              <w:spacing w:after="0" w:before="0" w:lineRule="auto" w:line="276"/>
              <w:jc w:val="left"/>
            </w:pPr>
            <w:r>
              <w:rPr>
                <w:rFonts w:ascii="Times New Roman" w:hAnsi="Times New Roman" w:cs="Times New Roman" w:eastAsia="Times New Roman"/>
                <w:b w:val="false"/>
                <w:sz w:val="26"/>
              </w:rPr>
              <w:t>01-08-2007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132/2008/NĐ-CP</w:t>
            </w:r>
          </w:p>
        </w:tc>
        <w:tc>
          <w:p/>
          <w:p>
            <w:pPr>
              <w:spacing w:after="0" w:before="0" w:lineRule="auto" w:line="276"/>
              <w:jc w:val="left"/>
            </w:pPr>
            <w:r>
              <w:rPr>
                <w:rFonts w:ascii="Times New Roman" w:hAnsi="Times New Roman" w:cs="Times New Roman" w:eastAsia="Times New Roman"/>
                <w:b w:val="false"/>
                <w:sz w:val="26"/>
              </w:rPr>
              <w:t>Nghị định 132/2008/NĐ-CP - Quy định chi tiết thi hành một số điều của Luật chất lượng sản phẩm, hàng hóa</w:t>
            </w:r>
          </w:p>
        </w:tc>
        <w:tc>
          <w:p/>
          <w:p>
            <w:pPr>
              <w:spacing w:after="0" w:before="0" w:lineRule="auto" w:line="276"/>
              <w:jc w:val="left"/>
            </w:pPr>
            <w:r>
              <w:rPr>
                <w:rFonts w:ascii="Times New Roman" w:hAnsi="Times New Roman" w:cs="Times New Roman" w:eastAsia="Times New Roman"/>
                <w:b w:val="false"/>
                <w:sz w:val="26"/>
              </w:rPr>
              <w:t>31-12-2008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20/2013/TTLT-BYT-BCT-BNNPTNT</w:t>
            </w:r>
          </w:p>
        </w:tc>
        <w:tc>
          <w:p/>
          <w:p>
            <w:pPr>
              <w:spacing w:after="0" w:before="0" w:lineRule="auto" w:line="276"/>
              <w:jc w:val="left"/>
            </w:pPr>
            <w:r>
              <w:rPr>
                <w:rFonts w:ascii="Times New Roman" w:hAnsi="Times New Roman" w:cs="Times New Roman" w:eastAsia="Times New Roman"/>
                <w:b w:val="false"/>
                <w:sz w:val="26"/>
              </w:rPr>
              <w:t>Thông tư liên tịch 20/2013/TTLT-BYT-BCT-BNNPTNT</w:t>
            </w:r>
          </w:p>
        </w:tc>
        <w:tc>
          <w:p/>
          <w:p>
            <w:pPr>
              <w:spacing w:after="0" w:before="0" w:lineRule="auto" w:line="276"/>
              <w:jc w:val="left"/>
            </w:pPr>
            <w:r>
              <w:rPr>
                <w:rFonts w:ascii="Times New Roman" w:hAnsi="Times New Roman" w:cs="Times New Roman" w:eastAsia="Times New Roman"/>
                <w:b w:val="false"/>
                <w:sz w:val="26"/>
              </w:rPr>
              <w:t>01-08-2013</w:t>
            </w:r>
          </w:p>
        </w:tc>
        <w:tc>
          <w:p/>
          <w:p>
            <w:pPr>
              <w:spacing w:after="0" w:before="0" w:lineRule="auto" w:line="276"/>
              <w:jc w:val="left"/>
            </w:pPr>
            <w:r>
              <w:rPr>
                <w:rFonts w:ascii="Times New Roman" w:hAnsi="Times New Roman" w:cs="Times New Roman" w:eastAsia="Times New Roman"/>
                <w:b w:val="false"/>
                <w:sz w:val="26"/>
              </w:rPr>
              <w:t>Bộ Y tế</w:t>
            </w:r>
          </w:p>
        </w:tc>
      </w:tr>
      <w:tr>
        <w:tc>
          <w:p/>
          <w:p>
            <w:pPr>
              <w:spacing w:after="0" w:before="0" w:lineRule="auto" w:line="276"/>
              <w:jc w:val="left"/>
            </w:pPr>
            <w:r>
              <w:rPr>
                <w:rFonts w:ascii="Times New Roman" w:hAnsi="Times New Roman" w:cs="Times New Roman" w:eastAsia="Times New Roman"/>
                <w:b w:val="false"/>
                <w:sz w:val="26"/>
              </w:rPr>
              <w:t>67/2009/NĐ-CP</w:t>
            </w:r>
          </w:p>
        </w:tc>
        <w:tc>
          <w:p/>
          <w:p>
            <w:pPr>
              <w:spacing w:after="0" w:before="0" w:lineRule="auto" w:line="276"/>
              <w:jc w:val="left"/>
            </w:pPr>
            <w:r>
              <w:rPr>
                <w:rFonts w:ascii="Times New Roman" w:hAnsi="Times New Roman" w:cs="Times New Roman" w:eastAsia="Times New Roman"/>
                <w:b w:val="false"/>
                <w:sz w:val="26"/>
              </w:rPr>
              <w:t>Sửa đổi một số điều của Nghị định số 127/2007/NĐ-CP ngày 01 tháng 8 năm 2007 của Chính phủ quy định chi tiết thi hành một số điều của Luật Tiêu chuẩn và Quy chuẩn kỹ thuật và Nghị định số 132/2008/NĐ-CP ngày 31 tháng 12 năm 2008 của Chính phủ quy định chi tiết thi hành một số điều của Luật Chất lượng sản phẩm, hàng hóa</w:t>
            </w:r>
          </w:p>
        </w:tc>
        <w:tc>
          <w:p/>
          <w:p>
            <w:pPr>
              <w:spacing w:after="0" w:before="0" w:lineRule="auto" w:line="276"/>
              <w:jc w:val="left"/>
            </w:pPr>
            <w:r>
              <w:rPr>
                <w:rFonts w:ascii="Times New Roman" w:hAnsi="Times New Roman" w:cs="Times New Roman" w:eastAsia="Times New Roman"/>
                <w:b w:val="false"/>
                <w:sz w:val="26"/>
              </w:rPr>
              <w:t>03-08-2009</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27/2016/TT-BCT</w:t>
            </w:r>
          </w:p>
        </w:tc>
        <w:tc>
          <w:p/>
          <w:p>
            <w:pPr>
              <w:spacing w:after="0" w:before="0" w:lineRule="auto" w:line="276"/>
              <w:jc w:val="left"/>
            </w:pPr>
            <w:r>
              <w:rPr>
                <w:rFonts w:ascii="Times New Roman" w:hAnsi="Times New Roman" w:cs="Times New Roman" w:eastAsia="Times New Roman"/>
                <w:b w:val="false"/>
                <w:sz w:val="26"/>
              </w:rPr>
              <w:t>Sửa đổi, bổ sung, bãi bỏ một số văn bản quy phạm pháp luật quy định về điều kiện đầu tư kinh doanh trong một số lĩnh vực thuộc phạm vi quản lý nhà nước của Bộ Công Thương</w:t>
            </w:r>
          </w:p>
        </w:tc>
        <w:tc>
          <w:p/>
          <w:p>
            <w:pPr>
              <w:spacing w:after="0" w:before="0" w:lineRule="auto" w:line="276"/>
              <w:jc w:val="left"/>
            </w:pPr>
            <w:r>
              <w:rPr>
                <w:rFonts w:ascii="Times New Roman" w:hAnsi="Times New Roman" w:cs="Times New Roman" w:eastAsia="Times New Roman"/>
                <w:b w:val="false"/>
                <w:sz w:val="26"/>
              </w:rPr>
              <w:t>05-12-2016</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Cơ sở kiểm nghiệm thực phẩm phục vụ quản lý nhà nước.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https://thutuc.dichvucong.gov.vn/p/home/dvc-tthc-thu-tuc-hanh-chinh-chi-tiet.html?ma_thu_tuc=5660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2025-11-27T08:42:14Z</dcterms:created>
  <dc:creator>Apache POI</dc:creator>
</cp:coreProperties>
</file>