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1.003992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rượu công nghiệp (quy mô từ 3 triệu lít/năm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cấp lại do hết thời hạn hiệu lực: Doanh nghiệp phải nộp hồ sơ đề nghị cấp lại giấy phép trước thời hạn hết hiệu lực của giấy phép 30 ngày đến Ủy ban nhân dân cấp tỉnh. Hồ sơ, thẩm quyền, thủ tục cấp lại áp dụng như quy định đối với trường hợp cấp mới.
- Trường hợp cấp lại giấy phép do bị mất hoặc bị hỏng: Doanh nghiệp phải nộp hồ sơ đề nghị cấp lại giấy phép đến Ủy ban nhân dân cấp tỉnh.
- Trong thời hạn 07 ngày làm việc kể từ ngày nhận đủ hồ sơ hợp lệ, cơ quan nhà nước có thẩm quyền xem xét và cấp lại giấy phép theo Mẫu số 07 ban hành kèm theo Nghị định số 17/2020/NĐ-CP. Trường hợp từ chối cấp phải trả lời bằng văn bản và nêu rõ lý do.
- Trường hợp chưa đủ hồ sơ hợp lệ, trong vòng 03 ngày làm việc kể từ ngày tiếp nhận hồ sơ, cơ quan cấp lại giấy phép phải có văn bản yêu cầu bổ sung.
- Cơ quan cấp giấy phép căn cứ vào hồ sơ đã lưu và hồ sơ đề nghị cấp lại của doanh nghiệp để cấp lại giấy phép;
- Thời hạn của giấy phép sẽ được giữ nguyên như cũ.</w:t>
      </w:r>
    </w:p>
    <w:p>
      <w:pPr>
        <w:spacing w:after="0" w:before="0" w:lineRule="auto" w:line="276"/>
        <w:jc w:val="both"/>
      </w:pPr>
      <w:r>
        <w:rPr>
          <w:rFonts w:ascii="Times New Roman" w:hAnsi="Times New Roman" w:cs="Times New Roman" w:eastAsia="Times New Roman"/>
          <w:b w:val="false"/>
          <w:sz w:val="26"/>
        </w:rPr>
        <w:t>- Trường hợp cấp lại do hết thời hạn hiệu lực: Doanh nghiệp phải nộp hồ sơ đề nghị cấp lại giấy phép trước thời hạn hết hiệu lực của giấy phép 30 ngày trực tiếp hoặc qua đường bưu điện hoặc qua mạng điện tử đến Ủy ban nhân dân cấp tỉnh.
- Trường hợp cấp lại giấy phép do bị mất hoặc bị hỏng: Doanh nghiệp phải nộp hồ sơ đề nghị cấp lại giấy phép trực tiếp hoặc qua đường bưu điện hoặc qua mạng điện tử đến Ủy ban nhân dân cấp tỉnh.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cấp lại giấy phép do bị mất hoặc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theo Mẫu số 03 ban hành tại Nghị định 17/2020/NĐ-CP và bản gốc hoặc bản sao giấy phép đã cấp (nếu có);</w:t>
            </w:r>
          </w:p>
        </w:tc>
        <w:tc>
          <w:p/>
          <w:p>
            <w:pPr>
              <w:spacing w:after="0" w:before="0" w:lineRule="auto" w:line="276"/>
              <w:jc w:val="left"/>
            </w:pPr>
            <w:r>
              <w:rPr>
                <w:rFonts w:ascii="Times New Roman" w:hAnsi="Times New Roman" w:cs="Times New Roman" w:eastAsia="Times New Roman"/>
                <w:b w:val="false"/>
                <w:sz w:val="26"/>
              </w:rPr>
              <w:t>MẪU SỐ 03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đối với trường hợp này áp dụng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công nghiệp (quy mô từ 3 triệu lít/năm trở lên)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quy trình công nghệ sản xuất rượu đáp ứng quy mô dự kiến sản xuất.
	- Bảo đảm các điều kiện về an toàn thực phẩm và bảo vệ môi trường theo quy định của pháp luật.
	-  Đáp ứng các quy định về ghi nhãn hàng hóa rượu.
	-  Có cán bộ kỹ thuật có trình độ, chuyên môn phù hợp với ngành, nghề sản xuất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2025-11-27T08:42:15Z</dcterms:created>
  <dc:creator>Apache POI</dc:creator>
</cp:coreProperties>
</file>