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1.004007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sản xuất rượu công nghiệp (quy mô từ 3 triệu lít/năm trở lên)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có thay đổi các nội dung của giấy phép, doanh nghiệp nộp hồ sơ trực tiếp hoặc qua đường bưu điện hoặc trực tuyến (nếu đủ điều kiện áp dụng) đến cơ quan có thẩm quyền cấp giấy phép;
- Trong thời hạn 07 ngày làm việc kể từ ngày nhận đủ hồ sơ hợp lệ, cơ quan nhà nước có thẩm quyền xem xét và cấp sửa đổi, bổ sung giấy phép theo Mẫu số 06 ban hành kèm theo Nghị định số 17/2020/NĐ-CP. Trường hợp từ chối cấp sửa đổi, bổ sung phải trả lời bằng văn bản và nêu rõ lý do.
- Trường hợp chưa đủ hồ sơ hợp lệ, trong vòng 03 ngày làm việc kể từ ngày tiếp nhận hồ sơ, cơ quan cấp sửa đổi, bổ sung giấy phép phải có văn bản yêu cầu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 của doanh nghiệp.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 của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 của doanh nghiệp.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sửa đổi, bổ sung theo Mẫu số 02 ban hành kèm theo Nghị định số 17/20120/NĐ-CP;</w:t>
            </w:r>
          </w:p>
        </w:tc>
        <w:tc>
          <w:p/>
          <w:p>
            <w:pPr>
              <w:spacing w:after="0" w:before="0" w:lineRule="auto" w:line="276"/>
              <w:jc w:val="left"/>
            </w:pPr>
            <w:r>
              <w:rPr>
                <w:rFonts w:ascii="Times New Roman" w:hAnsi="Times New Roman" w:cs="Times New Roman" w:eastAsia="Times New Roman"/>
                <w:b w:val="false"/>
                <w:sz w:val="26"/>
              </w:rPr>
              <w:t>MẪU SỐ 02 RƯỢU.docx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rượu công nghiệp (quy mô từ 3 triệu lít/năm trở lên) (cấp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doanh nghiệp được thành lập theo quy định của pháp luật
	- Có dây chuyền máy móc, thiết bị, quy trình công nghệ sản xuất rượu đáp ứng quy mô dự kiến sản xuất.
	- Bảo đảm các điều kiện về an toàn thực phẩm và bảo vệ môi trường theo quy định của pháp luật.
	-  Đáp ứng các quy định về ghi nhãn hàng hóa rượu.
	-  Có cán bộ kỹ thuật có trình độ, chuyên môn phù hợp với ngành, nghề sản xuất rượu.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https://thutuc.dichvucong.gov.vn/p/home/dvc-tthc-thu-tuc-hanh-chinh-chi-tiet.html?ma_thu_tuc=5732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2025-11-27T08:42:16Z</dcterms:created>
  <dc:creator>Apache POI</dc:creator>
</cp:coreProperties>
</file>