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1.005184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đủ điều kiện thương nhân xuất khẩu, nhập khẩu LNG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Kinh doanh khí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đáp ứng đầy đủ các điều kiện quy định tại Nghị định số 87/2018/NĐ-CP gửi 01 bộ hồ sơ đề nghị cấp Giấy chứng nhận đủ điều kiện trực tiếp hoặc qua đường bưu điện hoặc qua mạng điện tử đến Ủy ban nhân dân cấp tỉnh;
- Trường hợp thương nhân chưa đủ hồ sơ hợp lệ, cơ quan nhà nước có thẩm quyền có văn bản yêu cầu thương nhân bổ sung;
- Trong thời hạn 15 ngày làm việc kể từ ngày nhận được hồ sơ đầy đủ và hợp lệ, Ủy ban nhân dân cấp tỉnh có trách nhiệm xem xét, thẩm định và cấp Giấy chứng nhận đủ điều kiện cho thương nhân. Trường hợp từ chối cấp Giấy chứng nhận phải trả lời bằng văn bản và nêu rõ lý do;
- Thời hạn của Giấy chứng nhận đủ điều kiện là 10 năm kể từ ngày cấp mới.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(nộp phí theo quy định của pháp luật về phí, lệ phí hiện hành)</w:t>
            </w:r>
          </w:p>
          <w:p>
            <w:pPr>
              <w:spacing w:after="0" w:before="0" w:lineRule="auto" w:line="276"/>
              <w:jc w:val="left"/>
            </w:pPr>
            <w:r>
              <w:rPr>
                <w:rFonts w:ascii="Times New Roman" w:hAnsi="Times New Roman" w:cs="Times New Roman" w:eastAsia="Times New Roman"/>
                <w:b w:val="false"/>
                <w:sz w:val="26"/>
              </w:rPr>
              <w:t xml:space="preserve">Lệ phí :  </w:t>
              <w:t xml:space="preserve"> (nộp phí theo quy định của pháp luật về phí, lệ phí hiện hành)</w:t>
            </w:r>
          </w:p>
        </w:tc>
        <w:tc>
          <w:p/>
          <w:p>
            <w:pPr>
              <w:spacing w:after="0" w:before="0" w:lineRule="auto" w:line="276"/>
              <w:jc w:val="left"/>
            </w:pPr>
            <w:r>
              <w:rPr>
                <w:rFonts w:ascii="Times New Roman" w:hAnsi="Times New Roman" w:cs="Times New Roman" w:eastAsia="Times New Roman"/>
                <w:b w:val="false"/>
                <w:sz w:val="26"/>
              </w:rPr>
              <w:t>	15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(nộp phí theo quy định của pháp luật về phí, lệ phí hiện hành)</w:t>
            </w:r>
          </w:p>
          <w:p>
            <w:pPr>
              <w:spacing w:after="0" w:before="0" w:lineRule="auto" w:line="276"/>
              <w:jc w:val="left"/>
            </w:pPr>
            <w:r>
              <w:rPr>
                <w:rFonts w:ascii="Times New Roman" w:hAnsi="Times New Roman" w:cs="Times New Roman" w:eastAsia="Times New Roman"/>
                <w:b w:val="false"/>
                <w:sz w:val="26"/>
              </w:rPr>
              <w:t xml:space="preserve">Lệ phí :  </w:t>
              <w:t xml:space="preserve"> (nộp phí theo quy định của pháp luật về phí, lệ phí hiện hành)</w:t>
            </w:r>
          </w:p>
        </w:tc>
        <w:tc>
          <w:p/>
          <w:p>
            <w:pPr>
              <w:spacing w:after="0" w:before="0" w:lineRule="auto" w:line="276"/>
              <w:jc w:val="left"/>
            </w:pPr>
            <w:r>
              <w:rPr>
                <w:rFonts w:ascii="Times New Roman" w:hAnsi="Times New Roman" w:cs="Times New Roman" w:eastAsia="Times New Roman"/>
                <w:b w:val="false"/>
                <w:sz w:val="26"/>
              </w:rPr>
              <w:t>	15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(nộp phí theo quy định của pháp luật về phí, lệ phí hiện hành)</w:t>
            </w:r>
          </w:p>
          <w:p>
            <w:pPr>
              <w:spacing w:after="0" w:before="0" w:lineRule="auto" w:line="276"/>
              <w:jc w:val="left"/>
            </w:pPr>
            <w:r>
              <w:rPr>
                <w:rFonts w:ascii="Times New Roman" w:hAnsi="Times New Roman" w:cs="Times New Roman" w:eastAsia="Times New Roman"/>
                <w:b w:val="false"/>
                <w:sz w:val="26"/>
              </w:rPr>
              <w:t xml:space="preserve">Lệ phí :  </w:t>
              <w:t xml:space="preserve"> (nộp phí theo quy định của pháp luật về phí, lệ phí hiện hành)</w:t>
            </w:r>
          </w:p>
        </w:tc>
        <w:tc>
          <w:p/>
          <w:p>
            <w:pPr>
              <w:spacing w:after="0" w:before="0" w:lineRule="auto" w:line="276"/>
              <w:jc w:val="left"/>
            </w:pPr>
            <w:r>
              <w:rPr>
                <w:rFonts w:ascii="Times New Roman" w:hAnsi="Times New Roman" w:cs="Times New Roman" w:eastAsia="Times New Roman"/>
                <w:b w:val="false"/>
                <w:sz w:val="26"/>
              </w:rPr>
              <w:t>	15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Giấy đề nghị cấp Giấy chứng nhận đủ điều kiện thương nhân xuất khẩu, nhập khẩu LPG/LNG/CNG theo Mẫu số 01 tại Phụ lục kèm theo Nghị định số 87/2018/NĐ-CP.</w:t>
            </w:r>
          </w:p>
        </w:tc>
        <w:tc>
          <w:p/>
          <w:p>
            <w:pPr>
              <w:spacing w:after="0" w:before="0" w:lineRule="auto" w:line="276"/>
              <w:jc w:val="left"/>
            </w:pPr>
            <w:r>
              <w:rPr>
                <w:rFonts w:ascii="Times New Roman" w:hAnsi="Times New Roman" w:cs="Times New Roman" w:eastAsia="Times New Roman"/>
                <w:b w:val="false"/>
                <w:sz w:val="26"/>
              </w:rPr>
              <w:t>Mauso01kh.docx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Bản sao Giấy chứng nhận đăng ký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3. Tài liệu chứng minh có cầu cảng hoặc hợp đồng thuê cầu cảng thuộc hệ thống cầu cảng Việt Nam được cấp có thẩm quyền cho phép sử dụng.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4. Bản sao Giấy chứng nhận kết quả kiểm định kỹ thuật an toàn lao động bồn chứa.</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5. Tài liệu chứng minh đáp ứng các điều kiện về phòng cháy và chữa cháy.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6. Đối với thương nhân xuất khẩu, nhập khẩu khí qua đường ống ngoài các giấy tờ quy định tại khoản 2, 3, 4, 5 Điều 37 Nghị định số 87/2018/NĐ-CP phải bổ sung tài liệu chứng minh có đường ống vận chuyển khí hoặc hợp đồng thuê đường ống vận chuyển khí; bản sao Giấy chứng nhận kiểm định đường ống còn hiệu lực và tài liệu chứng minh có trạm cấp khí đáp ứng các quy định về an toàn, phòng cháy và chữa cháy theo quy định tại Nghị định số 87/2018/NĐ-CP và pháp luật có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THƯƠNG NHÂN XUẤT KHẨU, NHẬP KHẨU LPG/LNG/CNG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87/2018/NĐ-CP</w:t>
            </w:r>
          </w:p>
        </w:tc>
        <w:tc>
          <w:p/>
          <w:p>
            <w:pPr>
              <w:spacing w:after="0" w:before="0" w:lineRule="auto" w:line="276"/>
              <w:jc w:val="left"/>
            </w:pPr>
            <w:r>
              <w:rPr>
                <w:rFonts w:ascii="Times New Roman" w:hAnsi="Times New Roman" w:cs="Times New Roman" w:eastAsia="Times New Roman"/>
                <w:b w:val="false"/>
                <w:sz w:val="26"/>
              </w:rPr>
              <w:t>Về kinh doanh khí</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Điều kiện đối với thương nhân xuất khẩu, nhập khẩu khí gồm:
a) Là doanh nghiệp được thành lập theo quy định của pháp luật;
b) Có cầu cảng hoặc có hợp đồng thuê tối thiểu 05 năm cầu cảng thuộc hệ thống cảng Việt Nam đã được cấp có thẩm quyền cho phép sử dụng;
c) Có bồn chứa khí hoặc hợp đồng thuê bồn chứa khí đáp ứng các quy định về an toàn;
d) Đáp ứng các điều kiện về phòng cháy và chữa cháy theo quy định của pháp luật.
2. Đối với thương nhân xuất khẩu, nhập khẩu kinh doanh khí qua đường ống ngoài đáp ứng các điều kiện quy định tại điểm a, b và c khoản 1 Điều 6 Nghị định 87/2018/NĐ-CP còn phải có trạm cấp khí đáp ứng các điều kiện về an toàn theo quy định tại Chương IV Nghị định 87/2018/NĐ-CP.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https://thutuc.dichvucong.gov.vn/p/home/dvc-tthc-thu-tuc-hanh-chinh-chi-tiet.html?ma_thu_tuc=7317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2025-11-27T08:42:38Z</dcterms:created>
  <dc:creator>Apache POI</dc:creator>
</cp:coreProperties>
</file>