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1.005405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sửa đổi, bổ sung Giấy chứng nhận đăng ký quyền xuất khẩu, quyền nhập khẩu của thương nhân nước ngoài không có hiện diện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nước ngoài không có hiện diện tại Việt Nam hoặc cá nhân, tổ chức kinh tế đại diện cho thương nhân không hiện diện tại Việt Nam gửi 01 bộ hồ sơ đề nghị cấp lại, sửa đổi, bổ sung Giấy chứng nhận đăng ký quyền xuất khẩu, quyền nhập khẩu của thương nhân nước ngoài không có hiện diện tại Việt Nam đến cơ quan cấp phép.
- Trong thời hạn 15 (mười lăm) ngày làm việc, kể từ ngày nhận được đề nghị bằng văn bản và hồ sơ hợp lệ cơ quan cấp Giấy chứng nhận đăng ký quyền xuất khẩu, quyền nhập khẩu thực hiện sửa đổi, bổ sung, cấp lại Giấy chứng nhận đăng ký quyền xuất khẩu, quyền nhập khẩu cho thương nhân nước ngoài không có hiện diện tại Việt Nam.
- Trong thời hạn 5 (năm) ngày làm việc, kể từ ngày Giấy chứng nhận đăng ký quyền xuất khẩu, quyền nhập khẩu được sửa đổi, bổ sung, thương nhân nước ngoài không có hiện diện tại Việt Nam phải công bố công khai các nội dung được sửa đổi, bổ sung ghi trong Giấy chứng nhận đăng ký quyền xuất khẩu, quyền nhập khẩu của mình.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Mười lăm (15) ngày làm việc, kể từ ngày nhận được đề nghị bằng văn bản và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Mười lăm (15) ngày làm việc, kể từ ngày nhận được đề nghị bằng văn bản và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Mười lăm (15) ngày làm việc, kể từ ngày nhận được đề nghị bằng văn bản và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tại Điều 12 Nghị định số 90/2007/NĐ-CP</w:t>
            </w:r>
          </w:p>
        </w:tc>
        <w:tc>
          <w:p/>
          <w:p>
            <w:pPr>
              <w:spacing w:after="0" w:before="0" w:lineRule="auto" w:line="276"/>
              <w:jc w:val="left"/>
            </w:pPr>
            <w:r>
              <w:rPr>
                <w:rFonts w:ascii="Times New Roman" w:hAnsi="Times New Roman" w:cs="Times New Roman" w:eastAsia="Times New Roman"/>
                <w:b w:val="false"/>
                <w:sz w:val="26"/>
              </w:rPr>
              <w:t>Caplaisuadoi.docx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cấp lại, sửa đổi, bổ sung Giấy chứng nhận đăng ký quyền xuất khẩu, quyền nhập khẩu của thương nhân nước ngoài không có hiện diện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23/2007/NĐ-CP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hoạt động mua bán hàng hoá và các hoạt động liên quan trực tiếp đến mua bán hàng hoá của doanh nghiệp có vốn đầu tư nước ngoài tại Việt Nam</w:t>
            </w:r>
          </w:p>
        </w:tc>
        <w:tc>
          <w:p/>
          <w:p>
            <w:pPr>
              <w:spacing w:after="0" w:before="0" w:lineRule="auto" w:line="276"/>
              <w:jc w:val="left"/>
            </w:pPr>
            <w:r>
              <w:rPr>
                <w:rFonts w:ascii="Times New Roman" w:hAnsi="Times New Roman" w:cs="Times New Roman" w:eastAsia="Times New Roman"/>
                <w:b w:val="false"/>
                <w:sz w:val="26"/>
              </w:rPr>
              <w:t>12-02-2007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90/2007/NĐ-CP</w:t>
            </w:r>
          </w:p>
        </w:tc>
        <w:tc>
          <w:p/>
          <w:p>
            <w:pPr>
              <w:spacing w:after="0" w:before="0" w:lineRule="auto" w:line="276"/>
              <w:jc w:val="left"/>
            </w:pPr>
            <w:r>
              <w:rPr>
                <w:rFonts w:ascii="Times New Roman" w:hAnsi="Times New Roman" w:cs="Times New Roman" w:eastAsia="Times New Roman"/>
                <w:b w:val="false"/>
                <w:sz w:val="26"/>
              </w:rPr>
              <w:t>Quy định về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31-05-2007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Áp dụng thủ tục cấp Giấy chứng nhận đăng ký quyền xuất khẩu, quyền nhập khẩu đối với thương nhân nước ngoài thuộc các nước, vùng lãnh thổ là thành viên của Tổ chức Thương mại thế giới WTO và các nước, vùng lãnh thổ có thỏa thuận song phương với Việt Nam về quyền xuất khẩu, quyền nhập khẩu và các tổ chức, cá nhân khác có liên quan đến hoạt động xuất khẩu, nhập khẩu của thương nhân nước ngoài không có hiện diện tại Việt Nam.
- Thủ tục cấp Giấy chứng nhận đăng ký quyền xuất khẩu, quyền nhập khẩu không điều chỉnh hoạt động kinh doanh tại chợ biên giới, chợ cửa khẩu, chợ trong khu kinh tế cửa khẩu của thương nhân nước có chung đường biên giới.	 	 
3.	- Thương nhân nước ngoài không có hiện diện tại Việt Nam được cấp Giấy chứng nhận đăng ký quyền xuất khẩu, quyền nhập khẩu thực hiện quyền xuất khẩu như sau:
+ Được xuất khẩu các mặt hàng không thuộc danh mục hàng hóa cấm xuất khẩu, danh mục hàng hóa tạm ngừng xuất khẩu, danh mục hàng hóa không được quyền xuất khẩu theo cam kết quốc tế. Đối với hàng hóa xuất khẩu có điều kiện phải đáp ứng các điều kiện theo quy định của pháp luật;
+ Đối với hàng hóa xuất khẩu thuộc danh mục hàng hóa xuất khẩu theo lộ trình trong các cam kết quốc tế, thực hiện theo lộ trình cam kết;
+ Được trực tiếp làm thủ tục xuất khẩu hàng hóa tại cơ quan Hải quan theo quy định của pháp luật trên cơ sở hợp đồng mua hàng ký với thương nhân Việt Nam;
+ Mặt hàng xuất khẩu phải phù hợp với nội dung Giấy chứng nhận đăng ký quyền xuất khẩu, quyền nhập khẩu.
+ Thương nhân không hiện diện chỉ được trực tiếp mua hàng hóa của thương nhân Việt Nam có đăng ký kinh doanh hoặc có quyền xuất khẩu hoặc quyền phân phối hàng hóa đó để xuất khẩu; không được tổ chức mạng lưới mua gom hàng hóa tại Việt Nam để xuất khẩu, bao gồm việc mở địa điểm để mua gom hàng hóa xuất khẩu, trừ trường hợp pháp luật Việt Nam hoặc điều ước quốc tế mà Cộng hòa xã hội chủ nghĩa Việt Nam là thành viên có quy định khác.	 	 
4.	- Thương nhân không hiện diện đã được cấp Giấy chứng nhận đăng ký quyền xuất khẩu, quyền nhập khẩu thực hiện quyền nhập khẩu như sau:
+ Được nhập khẩu các mặt hàng không thuộc danh mục hàng hóa cấm nhập khẩu, danh mục hàng hóa tạm ngừng nhập khẩu, danh mục hàng hóa không được quyền nhập khẩu theo cam kết quốc tế. Đối với hàng hóa nhập khẩu có điều kiện phải đáp ứng các điều kiện theo quy định của pháp luật;
+ Đối với hàng hóa nhập khẩu thuộc danh mục hàng hóa nhập khẩu theo lộ trình trong các cam kết quốc tế, thực hiện theo lộ trình cam kết;
+ Được trực tiếp làm thủ tục nhập khẩu hàng hóa tại cơ quan Hải quan theo quy định của pháp luật trên cơ sở hợp đồng bán hàng ký với thương nhân Việt Nam;
+ Mặt hàng nhập khẩu phải phù hợp với nội dung Giấy chứng nhận đăng ký quyền xuất khẩu, quyền nhập khẩu.
+ Thương nhân không hiện diện chỉ được trực tiếp bán hàng nhập khẩu cho các thương nhân Việt Nam có đăng ký kinh doanh hoặc có quyền phân phối hàng hóa đó, không được tổ chức hoặc tham gia hệ thống phân phối hàng hóa tại Việt Nam, trừ trường hợp pháp luật Việt Nam hoặc điều ước quốc tế mà Cộng hòa xã hội chủ nghĩa Việt Nam là thành viên có quy định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2025-11-27T08:42:50Z</dcterms:created>
  <dc:creator>Apache POI</dc:creator>
</cp:coreProperties>
</file>