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1.008361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VN-CU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VN-CU đã được khai hoàn chỉnh (Phụ lục II ban hành kèm theo Thông tư số 08/2020/TT-BCT ngày 08/4/2020);</w:t>
            </w:r>
          </w:p>
        </w:tc>
        <w:tc>
          <w:p/>
          <w:p>
            <w:pPr>
              <w:spacing w:after="0" w:before="0" w:lineRule="auto" w:line="276"/>
              <w:jc w:val="left"/>
            </w:pPr>
            <w:r>
              <w:rPr>
                <w:rFonts w:ascii="Times New Roman" w:hAnsi="Times New Roman" w:cs="Times New Roman" w:eastAsia="Times New Roman"/>
                <w:b w:val="false"/>
                <w:sz w:val="26"/>
              </w:rPr>
              <w:t>mẫu 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ưu đãi mẫu VN-CU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https://thutuc.dichvucong.gov.vn/p/home/dvc-tthc-thu-tuc-hanh-chinh-chi-tiet.html?ma_thu_tuc=228114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2025-11-27T08:43:01Z</dcterms:created>
  <dc:creator>Apache POI</dc:creator>
</cp:coreProperties>
</file>