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1.012166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hiệu lực Mã số tân trang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Doanh nghiệp tân trang hoặc chủ sở hữu nhãn hiệu (sau đây gọi là doanh nghiệp đề nghị) có nhu cầu gia hạn hiệu lực Mã số tân trang gửi Đơn đề nghị gia hạn Mã số tân trang tới Bộ Công Thương trong ít nhất 90 ngày trước ngày Mã số tân trang hết hiệu lực. 
Trường hợp có sửa đổi, bổ sung thông tin so với Mã số tân trang đã được cấp, doanh nghiệp có nhu cầu gia hạn Mã số tân trang gửi bổ sung các tài liệu quy định tại điểm b, điểm c khoản 1 Điều 15 Nghị định số 77/2023/NĐ-CP.
Bước 2: Bộ Công Thương kiểm tra tính hợp lệ, đầy đủ của hồ sơ.
Bước 3: Trường hợp không sửa đổi, bổ sung thông tin so với Mã số tân trang đã được cấp, Bộ Công Thương xem xét chấp thuận đề nghị gia hạn hiệu lực của Mã số tân trang.
 Trường hợp có sửa đổi, bổ sung thông tin so với Mã số tân trang đã được cấp, thực hiện quy trình xử lý Đơn đề nghị gia hạn Mã số tân trang như đối với trường hợp sửa đổi, bổ sung thông tin của doanh nghiệp đã được cấp Mã số tân trang theo quy định tại khoản 2, 3, 4, 5, 6 Điều 15 Nghị định số 77/2023/NĐ-CP.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trực tuyến (nếu có áp dụng).
- 07 ngày làm việc kể từ ngày nhận đầy đủ hồ sơ yêu cầu của doanh nghiệp. Mã số tân trang có thời hạn hiệu lực tối đa là 5 năm kể từ ngày Bộ Công Thương chấp thuận đề nghị gia hạn hiệu lực của Mã số tân trang.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- 07 ngày làm việc kể từ ngày nhận đầy đủ hồ sơ yêu cầu của doanh nghiệp. Mã số tân trang có thời hạn hiệu lực tối đa là 5 năm kể từ ngày Bộ Công Thương chấp thuận đề nghị gia hạn hiệu lực của Mã số tân trang.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Hồ sơ đề nghị cấp Mã số tân trang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gia hạn Mã số tân trang theo mẫu tại Phụ lục VII hoặc Phụ lục VIII ban hành kèm theo Nghị định số 77/2023/NĐ-CP (01 bản chính).</w:t>
            </w:r>
          </w:p>
        </w:tc>
        <w:tc>
          <w:p/>
          <w:p>
            <w:pPr>
              <w:spacing w:after="0" w:before="0" w:lineRule="auto" w:line="276"/>
              <w:jc w:val="left"/>
            </w:pPr>
            <w:r>
              <w:rPr>
                <w:rFonts w:ascii="Times New Roman" w:hAnsi="Times New Roman" w:cs="Times New Roman" w:eastAsia="Times New Roman"/>
                <w:b w:val="false"/>
                <w:sz w:val="26"/>
              </w:rPr>
              <w:t>PHỤ LỤC VII.docx</w:t>
            </w:r>
          </w:p>
          <w:p>
            <w:pPr>
              <w:spacing w:after="0" w:before="0" w:lineRule="auto" w:line="276"/>
              <w:jc w:val="left"/>
            </w:pPr>
            <w:r>
              <w:rPr>
                <w:rFonts w:ascii="Times New Roman" w:hAnsi="Times New Roman" w:cs="Times New Roman" w:eastAsia="Times New Roman"/>
                <w:b w:val="false"/>
                <w:sz w:val="26"/>
              </w:rPr>
              <w:t>PHỤ LỤC VIII.docx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có sửa đổi, bổ sung thông tin so với Mã số tân trang đã được cấp, doanh nghiệp có nhu cầu gia hạn Mã số tân trang gửi bổ sung các tài liệu: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thuyết minh đề nghị sửa đổi, bổ sung thông tin (01 bản chính bằng tiếng Anh và 01 bản dịch tiếng Việt, cả 2 bản được ký bởi đại diện có thẩm quyền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tài liệu hỗ trợ cho tài liệu thuyết minh, nếu có (mỗi tài liệu 01 bản sao kèm theo bản dịch tiếng Việt, cả 2 bản được xác thực bởi đại diện có tham quyền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gia hạn hiệu lực của Mã số tân trang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https://thutuc.dichvucong.gov.vn/p/home/dvc-tthc-thu-tuc-hanh-chinh-chi-tiet.html?ma_thu_tuc=331704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2025-11-27T08:43:51Z</dcterms:created>
  <dc:creator>Apache POI</dc:creator>
</cp:coreProperties>
</file>