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xuất khẩu, nhập khẩu hóa chất Bảng 1</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thay đổi nội dung hợp đồng, thỏa thuận mua bán, đơn đặt hàng, bản ghi nhớ hoặc hóa đơn, tổ chức, cá nhân lập 01 bộ hồ sơ đề nghị điều chỉnh Giấy phép và gửi Ủy ban nhân dân cấp tỉnh qua đường bưu điện hoặc gửi trực tiếp hoặc qua hệ thống dịch vụ công trực tuyến;
- Thủ tục điều chỉnh Giấy phép thực hiện như cấp mới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đề nghị cấp điều chỉnh Giấy phép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cấp điều chỉnh Giấy phép; giấy tờ, tài liệu xác nhận đối với các nội dung điều chỉnh;</w:t>
            </w:r>
          </w:p>
        </w:tc>
        <w:tc>
          <w:p/>
          <w:p>
            <w:pPr>
              <w:spacing w:after="0" w:before="0" w:lineRule="auto" w:line="276"/>
              <w:jc w:val="left"/>
            </w:pPr>
            <w:r>
              <w:rPr>
                <w:rFonts w:ascii="Times New Roman" w:hAnsi="Times New Roman" w:cs="Times New Roman" w:eastAsia="Times New Roman"/>
                <w:b w:val="false"/>
                <w:sz w:val="26"/>
              </w:rPr>
              <w:t>Mau so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chỉ được nhập khẩu, xuất khẩu hóa chất Bảng 1, hóa chất Bảng 2 từ các Quốc gia thành viên của Công ước Cấm vũ khí hóa học.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nhập khẩu, xuất khẩu hóa chất Bảng phải có giấy phép do cơ quan có thẩm quyền cấp. Giấy phép nhập khẩu, xuất khẩu hóa chất Bảng là điều kiện để thông quan khi nhập khẩu, xuất khẩu hóa chất Bảng.
- Tổ chức, cá nhân chỉ được phép nhập khẩu hóa chất Bảng để kinh doanh sau khi được cơ quan có thẩm quyền cấp Giấy phép kinh doanh hóa chất Bảng. 
- Tổ chức, cá nhân nhập khẩu, xuất khẩu hóa chất Bảng thực hiện các quy định về báo cáo tại Điều 23, 24 và 25 Nghị định số 33/2024/NĐ-CP; thực hiện các quy định về thanh tra, kiểm tra tại Điều 34 và 35 Nghị định số 33/2024/NĐ-CP 
- Tổ chức, cá nhân nhập khẩu hóa chất Bảng để sử dụng trong quá trình sản xuất phải thực hiện các yêu cầu quy định tại Điều 21 và 22 Nghị định số 33/2024/NĐ-CP.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 
2.12. Căn cứ pháp lý của thủ tục hành chính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https://thutuc.dichvucong.gov.vn/p/home/dvc-tthc-thu-tuc-hanh-chinh-chi-tiet.html?ma_thu_tuc=339360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2025-11-27T08:44:03Z</dcterms:created>
  <dc:creator>Apache POI</dc:creator>
</cp:coreProperties>
</file>