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1.012433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phép xuất khẩu, nhập khẩu hóa chất Bảng 2, hoá chất Bảng 3.</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hợp thay đổi nội dung hợp đồng, thỏa thuận mua bán, đơn đặt hàng, bản ghi nhớ hoặc hóa đơn, tổ chức, cá nhân lập 01 bộ hồ sơ đề nghị điều chỉnh Giấy phép và gửi Ủy ban nhân dân cấp tỉnh.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07 (bảy)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07 (bảy)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07 (bảy)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điều chỉnh Giấy phép; giấy tờ, tài liệu xác nhận đối với các nội dung điều chỉnh.</w:t>
            </w:r>
          </w:p>
        </w:tc>
        <w:tc>
          <w:p/>
          <w:p>
            <w:pPr>
              <w:spacing w:after="0" w:before="0" w:lineRule="auto" w:line="276"/>
              <w:jc w:val="left"/>
            </w:pPr>
            <w:r>
              <w:rPr>
                <w:rFonts w:ascii="Times New Roman" w:hAnsi="Times New Roman" w:cs="Times New Roman" w:eastAsia="Times New Roman"/>
                <w:b w:val="false"/>
                <w:sz w:val="26"/>
              </w:rPr>
              <w:t>Mau so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xuất khẩu, nhập khẩu hóa chất Bảng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33/2024/NĐ-CP</w:t>
            </w:r>
          </w:p>
        </w:tc>
        <w:tc>
          <w:p/>
          <w:p>
            <w:pPr>
              <w:spacing w:after="0" w:before="0" w:lineRule="auto" w:line="276"/>
              <w:jc w:val="left"/>
            </w:pPr>
            <w:r>
              <w:rPr>
                <w:rFonts w:ascii="Times New Roman" w:hAnsi="Times New Roman" w:cs="Times New Roman" w:eastAsia="Times New Roman"/>
                <w:b w:val="false"/>
                <w:sz w:val="26"/>
              </w:rPr>
              <w:t>Nghị định số 33/2024/NĐ</w:t>
            </w:r>
          </w:p>
        </w:tc>
        <w:tc>
          <w:p/>
          <w:p>
            <w:pPr>
              <w:spacing w:after="0" w:before="0" w:lineRule="auto" w:line="276"/>
              <w:jc w:val="left"/>
            </w:pPr>
            <w:r>
              <w:rPr>
                <w:rFonts w:ascii="Times New Roman" w:hAnsi="Times New Roman" w:cs="Times New Roman" w:eastAsia="Times New Roman"/>
                <w:b w:val="false"/>
                <w:sz w:val="26"/>
              </w:rPr>
              <w:t>27-03-2024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cá nhân chỉ được nhập khẩu, xuất khẩu hóa chất Bảng 1, hóa chất Bảng 2 từ các Quốc gia thành viên của Công ước Cấm vũ khí hóa học. Trường hợp việc xuất khẩu hóa chất Bảng 3 được thực hiện với tổ chức, cá nhân của quốc gia không phải là thành viên của Công ước thì phải có Giấy chứng nhận sử dụng cuối cùng của cơ quan có thẩm quyền của quốc gia này. 
- Tổ chức, cá nhân nhập khẩu, xuất khẩu hóa chất Bảng phải có giấy phép do cơ quan có thẩm quyền cấp. Giấy phép nhập khẩu, xuất khẩu hóa chất Bảng là điều kiện để thông quan khi nhập khẩu, xuất khẩu hóa chất Bảng.
- Tổ chức, cá nhân chỉ được phép nhập khẩu hóa chất Bảng để kinh doanh sau khi được cơ quan có thẩm quyền cấp Giấy phép kinh doanh hóa chất Bảng. 
- Tổ chức, cá nhân nhập khẩu, xuất khẩu hóa chất Bảng thực hiện các quy định về báo cáo tại Điều 23, 24 và 25 Nghị định số 33/2024/NĐ-CP; thực hiện các quy định về thanh tra, kiểm tra tại Điều 34 và 35 Nghị định số 33/2024/NĐ-CP 
- Tổ chức, cá nhân nhập khẩu hóa chất Bảng để sử dụng trong quá trình sản xuất phải thực hiện các yêu cầu quy định tại Điều 21 và 22 Nghị định số 33/2024/NĐ-CP.
- Tổ chức, cá nhân đã được cấp Giấy phép nhập khẩu hóa chất Bảng không phải thực hiện các quy định về khai báo hóa chất thuộc Danh mục hóa chất phải khai báo theo quy định của Luật Hóa chất và Nghị định số 113/2014/NĐ-CP, được sửa đổi, bổ sung tại Nghị định số 82/2022/NĐ-CP.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https://thutuc.dichvucong.gov.vn/p/home/dvc-tthc-thu-tuc-hanh-chinh-chi-tiet.html?ma_thu_tuc=339409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2025-11-27T08:44:16Z</dcterms:created>
  <dc:creator>Apache POI</dc:creator>
</cp:coreProperties>
</file>