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tài sản kết cấu hạ tầng chợ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sản kết cấu hạ tầng chợ do Nhà nước đầu tư, quản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Cơ quan, đơn vị, doanh nghiệp có tài sản lập hồ sơ đề nghị thu hồi tài sản gửi cơ quan chuyên môn về tài sản kết cấu hạ tầng chợ cùng cấp. 
- Bước 2: Cơ quan chuyên môn về tài sản kết cấu hạ tầng chợ chủ trì, phối hợp với cơ quan, đơn vị có liên quan báo cáo Ủy ban nhân dân cấp có thẩm quyền xem xét, quyết định thu hồi. 
- Bước 3: Kể từ ngày nhận đủ hồ sơ quy định, Ủy ban nhân dân cấp có thẩm quyền xem xét, ban hành Quyết định thu hồi tài sản kết cấu hạ tầng chợ hoặc có văn bản hồi đáp trong trường hợp đề nghị thu hồi tài sản không phù hợp.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45 ngày, kể từ ngày nhận đủ hồ sơ quy định, cơ quan chuyên môn về tài sản kết cấu hạ tầng chợ chủ trì, phối hợp với cơ quan, đơn vị có liên quan báo cáo Ủy ban nhân dân cấp có thẩm quyền xem xét, quyết định thu hồi.</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quy định, Ủy ban nhân dân cấp có thẩm quyền xem xét, ban hành Quyết định thu hồi tài sản kết cấu hạ tầng chợ hoặc có văn bản hồi đáp trong trường hợp đề nghị thu hồi tài sản không phù hợp.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45 ngày, kể từ ngày nhận đủ hồ sơ quy định, cơ quan chuyên môn về tài sản kết cấu hạ tầng chợ chủ trì, phối hợp với cơ quan, đơn vị có liên quan báo cáo Ủy ban nhân dân cấp có thẩm quyền xem xét, quyết định thu hồi.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quy định, Ủy ban nhân dân cấp có thẩm quyền xem xét, ban hành Quyết định thu hồi tài sản kết cấu hạ tầng chợ hoặc có văn bản hồi đáp trong trường hợp đề nghị thu hồi tài sản không phù hợp.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45 ngày, kể từ ngày nhận đủ hồ sơ quy định, cơ quan chuyên môn về tài sản kết cấu hạ tầng chợ chủ trì, phối hợp với cơ quan, đơn vị có liên quan báo cáo Ủy ban nhân dân cấp có thẩm quyền xem xét, quyết định thu hồi.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30 ngày, kể từ ngày nhận đủ hồ sơ quy định, Ủy ban nhân dân cấp có thẩm quyền xem xét, ban hành Quyết định thu hồi tài sản kết cấu hạ tầng chợ hoặc có văn bản hồi đáp trong trường hợp đề nghị thu hồi tài sản không phù hợp.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thu hồi tài sản (trong đó xác định cụ thể tài sản thu hồi thuộc trường hợp nào theo quy định tại các điểm b, c, d, đ và e khoản 1 Điều  28 Nghị định số Nghị định số 60/2024/NĐ-CP):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mục tài sản đề nghị thu hồi (tên tài sản, địa chỉ, loại hình công trình, năm xây dựng, năm đưa vào sử dụng, diện tích, số điểm kinh  doanh tại chợ, giá trị tài sản): 01 bản chính.Hồ sơ có liên quan khác (nếu có):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tài sản kết cấu hạ tầng chợ, văn bản hồi đáp trong trường hợp đề nghị thu hồi tài sản kết cấu hạ tầng chợ không phù hợp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60/2024/NĐ-CP</w:t>
            </w:r>
          </w:p>
        </w:tc>
        <w:tc>
          <w:p/>
          <w:p>
            <w:pPr>
              <w:spacing w:after="0" w:before="0" w:lineRule="auto" w:line="276"/>
              <w:jc w:val="left"/>
            </w:pPr>
            <w:r>
              <w:rPr>
                <w:rFonts w:ascii="Times New Roman" w:hAnsi="Times New Roman" w:cs="Times New Roman" w:eastAsia="Times New Roman"/>
                <w:b w:val="false"/>
                <w:sz w:val="26"/>
              </w:rPr>
              <w:t>Nghị định số 60/2024/NĐ-CP</w:t>
            </w:r>
          </w:p>
        </w:tc>
        <w:tc>
          <w:p/>
          <w:p>
            <w:pPr>
              <w:spacing w:after="0" w:before="0" w:lineRule="auto" w:line="276"/>
              <w:jc w:val="left"/>
            </w:pPr>
            <w:r>
              <w:rPr>
                <w:rFonts w:ascii="Times New Roman" w:hAnsi="Times New Roman" w:cs="Times New Roman" w:eastAsia="Times New Roman"/>
                <w:b w:val="false"/>
                <w:sz w:val="26"/>
              </w:rPr>
              <w:t>05-06-2024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https://thutuc.dichvucong.gov.vn/p/home/dvc-tthc-thu-tuc-hanh-chinh-chi-tiet.html?ma_thu_tuc=342453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2025-11-27T08:44:31Z</dcterms:created>
  <dc:creator>Apache POI</dc:creator>
</cp:coreProperties>
</file>